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DA3F03" w:rsidRPr="00DA3F03" w14:paraId="47DFBD5B" w14:textId="77777777" w:rsidTr="00DA3F03">
        <w:tc>
          <w:tcPr>
            <w:tcW w:w="535" w:type="dxa"/>
            <w:shd w:val="clear" w:color="auto" w:fill="00AAD2" w:themeFill="accent3"/>
            <w:tcMar>
              <w:left w:w="0" w:type="dxa"/>
              <w:right w:w="0" w:type="dxa"/>
            </w:tcMar>
          </w:tcPr>
          <w:p w14:paraId="76158F74" w14:textId="77777777" w:rsidR="00DA3F03" w:rsidRPr="00DA3F03" w:rsidRDefault="00DA3F03" w:rsidP="00DA3F03">
            <w:pPr>
              <w:pStyle w:val="Section2"/>
              <w:spacing w:line="80" w:lineRule="atLeast"/>
              <w:rPr>
                <w:sz w:val="8"/>
                <w:szCs w:val="8"/>
              </w:rPr>
            </w:pPr>
          </w:p>
        </w:tc>
        <w:tc>
          <w:tcPr>
            <w:tcW w:w="9535" w:type="dxa"/>
            <w:tcMar>
              <w:left w:w="0" w:type="dxa"/>
              <w:right w:w="0" w:type="dxa"/>
            </w:tcMar>
          </w:tcPr>
          <w:p w14:paraId="342D45E9" w14:textId="77777777" w:rsidR="00DA3F03" w:rsidRPr="00DA3F03" w:rsidRDefault="00DA3F03" w:rsidP="00DA3F03">
            <w:pPr>
              <w:pStyle w:val="Section2"/>
              <w:spacing w:line="80" w:lineRule="atLeast"/>
              <w:rPr>
                <w:sz w:val="8"/>
                <w:szCs w:val="8"/>
              </w:rPr>
            </w:pPr>
          </w:p>
        </w:tc>
      </w:tr>
      <w:tr w:rsidR="00DA3F03" w:rsidRPr="00DA3F03" w14:paraId="3B8C65CF" w14:textId="77777777" w:rsidTr="00DA3F03">
        <w:trPr>
          <w:trHeight w:val="935"/>
        </w:trPr>
        <w:tc>
          <w:tcPr>
            <w:tcW w:w="10070" w:type="dxa"/>
            <w:gridSpan w:val="2"/>
            <w:tcMar>
              <w:left w:w="0" w:type="dxa"/>
              <w:right w:w="0" w:type="dxa"/>
            </w:tcMar>
          </w:tcPr>
          <w:p w14:paraId="060664BB" w14:textId="77777777" w:rsidR="006E5DCB" w:rsidRDefault="00CC61FE" w:rsidP="006E5DCB">
            <w:pPr>
              <w:pStyle w:val="Section1"/>
            </w:pPr>
            <w:r w:rsidRPr="00CC61FE">
              <w:t xml:space="preserve">An annual review of provincial long-term air quality data </w:t>
            </w:r>
          </w:p>
          <w:p w14:paraId="04228672" w14:textId="0A1918EB" w:rsidR="00DA3F03" w:rsidRPr="006E5DCB" w:rsidRDefault="00CC61FE" w:rsidP="006E5DCB">
            <w:pPr>
              <w:pStyle w:val="Section2"/>
              <w:ind w:right="77"/>
            </w:pPr>
            <w:r w:rsidRPr="006E5DCB">
              <w:t>Review</w:t>
            </w:r>
            <w:r w:rsidR="006E5DCB">
              <w:t xml:space="preserve"> p</w:t>
            </w:r>
            <w:r w:rsidR="00891315" w:rsidRPr="006E5DCB">
              <w:t>rocedure</w:t>
            </w:r>
            <w:r w:rsidRPr="006E5DCB">
              <w:t xml:space="preserve"> for data submitted into Air Data Warehouse</w:t>
            </w:r>
          </w:p>
        </w:tc>
      </w:tr>
    </w:tbl>
    <w:p w14:paraId="142A77FD" w14:textId="77777777" w:rsidR="00DA3F03" w:rsidRDefault="00DA3F03" w:rsidP="001A0B0D">
      <w:pPr>
        <w:pStyle w:val="Heading1"/>
        <w:tabs>
          <w:tab w:val="left" w:pos="5040"/>
        </w:tabs>
        <w:sectPr w:rsidR="00DA3F03" w:rsidSect="005B596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080" w:bottom="1440" w:left="1080" w:header="547" w:footer="403" w:gutter="0"/>
          <w:cols w:space="360"/>
          <w:docGrid w:linePitch="360"/>
        </w:sectPr>
      </w:pPr>
      <w:bookmarkStart w:id="0" w:name="_Toc34038790"/>
    </w:p>
    <w:bookmarkEnd w:id="0"/>
    <w:p w14:paraId="3C49EAD2" w14:textId="0AEFD2A1" w:rsidR="00CD0857" w:rsidRPr="00EF17ED" w:rsidRDefault="005161C2" w:rsidP="00EB6203">
      <w:pPr>
        <w:pStyle w:val="Heading1"/>
      </w:pPr>
      <w:r>
        <w:t xml:space="preserve">1.0 </w:t>
      </w:r>
      <w:r w:rsidR="00891315">
        <w:t>Background</w:t>
      </w:r>
    </w:p>
    <w:p w14:paraId="7AC23FD2" w14:textId="51C53D1D" w:rsidR="00B87578" w:rsidRDefault="009A3796" w:rsidP="00891315">
      <w:bookmarkStart w:id="1" w:name="_Toc34038791"/>
      <w:r w:rsidRPr="009A3796">
        <w:t>Air quality and deposition monitoring in Alberta is delivered through a distributed system, which includes industry, Airshed organizations and the pro</w:t>
      </w:r>
      <w:r>
        <w:t xml:space="preserve">vincial and federal governments. </w:t>
      </w:r>
      <w:r w:rsidR="00C22ECD">
        <w:t>D</w:t>
      </w:r>
      <w:r w:rsidR="009F705C">
        <w:t xml:space="preserve">ata from </w:t>
      </w:r>
      <w:r w:rsidR="002D300F">
        <w:t>t</w:t>
      </w:r>
      <w:r w:rsidR="00392CD1" w:rsidRPr="00392CD1">
        <w:t xml:space="preserve">he </w:t>
      </w:r>
      <w:r w:rsidR="009F705C" w:rsidRPr="00392CD1">
        <w:t>continuous ambient air quality monitoring stations opera</w:t>
      </w:r>
      <w:r w:rsidR="009F705C">
        <w:t xml:space="preserve">ted by Alberta Airsheds and Alberta Environment and Parks (AEP) are available for download from </w:t>
      </w:r>
      <w:r w:rsidR="002773A1">
        <w:t xml:space="preserve">the </w:t>
      </w:r>
      <w:r w:rsidR="00392CD1" w:rsidRPr="00392CD1">
        <w:t>Alberta Air Data Warehouse</w:t>
      </w:r>
      <w:r w:rsidR="009F705C">
        <w:t>.</w:t>
      </w:r>
      <w:r w:rsidR="002773A1">
        <w:t xml:space="preserve"> </w:t>
      </w:r>
      <w:r>
        <w:t>T</w:t>
      </w:r>
      <w:r w:rsidRPr="009A3796">
        <w:t>he Air Data Warehouse is a central repository for air quality and deposition data, and associated metadata, collected in Alberta.</w:t>
      </w:r>
      <w:r w:rsidR="00CC61FE">
        <w:t xml:space="preserve"> </w:t>
      </w:r>
      <w:r>
        <w:t xml:space="preserve">These data are used by the </w:t>
      </w:r>
      <w:r w:rsidRPr="00625B9F">
        <w:t xml:space="preserve">government, stakeholders, and the public to protect human health and the environment. </w:t>
      </w:r>
      <w:proofErr w:type="gramStart"/>
      <w:r w:rsidR="00891315" w:rsidRPr="005E10EA">
        <w:t>In order to</w:t>
      </w:r>
      <w:proofErr w:type="gramEnd"/>
      <w:r w:rsidR="00891315" w:rsidRPr="005E10EA">
        <w:t xml:space="preserve"> ensure high quality data, the data </w:t>
      </w:r>
      <w:r w:rsidR="00CC61FE" w:rsidRPr="005E10EA">
        <w:t>provide</w:t>
      </w:r>
      <w:r w:rsidR="00CC61FE">
        <w:t xml:space="preserve">d into the Air Data </w:t>
      </w:r>
      <w:r w:rsidR="002773A1">
        <w:t xml:space="preserve">Warehouse </w:t>
      </w:r>
      <w:r w:rsidR="003E428D">
        <w:t xml:space="preserve">are </w:t>
      </w:r>
      <w:r w:rsidR="00891315" w:rsidRPr="005E10EA">
        <w:t>validate</w:t>
      </w:r>
      <w:r w:rsidR="00CC61FE">
        <w:t>d</w:t>
      </w:r>
      <w:r w:rsidR="00891315" w:rsidRPr="005E10EA">
        <w:t xml:space="preserve"> and </w:t>
      </w:r>
      <w:r w:rsidR="00CC61FE" w:rsidRPr="005E10EA">
        <w:t>verif</w:t>
      </w:r>
      <w:r w:rsidR="00CC61FE">
        <w:t>ied</w:t>
      </w:r>
      <w:r w:rsidR="00891315" w:rsidRPr="005E10EA">
        <w:t>, as required by the Air Monitoring Directive</w:t>
      </w:r>
      <w:r w:rsidR="00666335">
        <w:t>, prior to submission</w:t>
      </w:r>
      <w:r w:rsidR="00891315" w:rsidRPr="005E10EA">
        <w:t xml:space="preserve">. </w:t>
      </w:r>
      <w:r w:rsidR="00CC61FE">
        <w:t xml:space="preserve">In addition, </w:t>
      </w:r>
      <w:r w:rsidR="00891315" w:rsidRPr="005E10EA">
        <w:t>the Air Data Warehouse performs automatic data validations</w:t>
      </w:r>
      <w:r w:rsidR="002773A1" w:rsidRPr="002773A1">
        <w:t xml:space="preserve"> </w:t>
      </w:r>
      <w:r w:rsidR="002773A1">
        <w:t>upon data submission</w:t>
      </w:r>
      <w:r w:rsidR="00891315" w:rsidRPr="005E10EA">
        <w:t xml:space="preserve">. In some cases, poor quality data can pass </w:t>
      </w:r>
      <w:r w:rsidR="00CC61FE">
        <w:t xml:space="preserve">these </w:t>
      </w:r>
      <w:r w:rsidR="00891315" w:rsidRPr="005E10EA">
        <w:t xml:space="preserve">verification and validation </w:t>
      </w:r>
      <w:proofErr w:type="gramStart"/>
      <w:r w:rsidR="00891315" w:rsidRPr="005E10EA">
        <w:t xml:space="preserve">steps, </w:t>
      </w:r>
      <w:r w:rsidR="003E428D">
        <w:t>and</w:t>
      </w:r>
      <w:proofErr w:type="gramEnd"/>
      <w:r w:rsidR="003E428D">
        <w:t xml:space="preserve"> are only</w:t>
      </w:r>
      <w:r w:rsidR="00891315" w:rsidRPr="005E10EA">
        <w:t xml:space="preserve"> identified later on through data analysis or station audits. An annual review of </w:t>
      </w:r>
      <w:r w:rsidR="004F230A">
        <w:t xml:space="preserve">provincial </w:t>
      </w:r>
      <w:r w:rsidR="00891315" w:rsidRPr="005E10EA">
        <w:t xml:space="preserve">long-term air quality data has been developed to </w:t>
      </w:r>
      <w:r w:rsidR="0055406E">
        <w:t xml:space="preserve">identify </w:t>
      </w:r>
      <w:r w:rsidR="00666335">
        <w:t xml:space="preserve">the few </w:t>
      </w:r>
      <w:proofErr w:type="gramStart"/>
      <w:r w:rsidR="00666335">
        <w:t>poor quality</w:t>
      </w:r>
      <w:proofErr w:type="gramEnd"/>
      <w:r w:rsidR="00666335">
        <w:t xml:space="preserve"> data that have been missed by the existing validation steps</w:t>
      </w:r>
      <w:r w:rsidR="00891315" w:rsidRPr="005E10EA">
        <w:t xml:space="preserve">. </w:t>
      </w:r>
      <w:r w:rsidR="00E05222">
        <w:t xml:space="preserve">This </w:t>
      </w:r>
      <w:r w:rsidR="00F1244A">
        <w:t xml:space="preserve">annual review is being done to 1) ensure </w:t>
      </w:r>
      <w:r w:rsidR="00E05222">
        <w:t xml:space="preserve">the </w:t>
      </w:r>
      <w:r w:rsidR="00F1244A">
        <w:t>best possible data</w:t>
      </w:r>
      <w:r w:rsidR="00E05222">
        <w:t xml:space="preserve"> </w:t>
      </w:r>
      <w:r w:rsidR="00F244CE">
        <w:t xml:space="preserve">are </w:t>
      </w:r>
      <w:r w:rsidR="00E05222">
        <w:t>being used</w:t>
      </w:r>
      <w:r w:rsidR="00F1244A">
        <w:t xml:space="preserve"> and 2) </w:t>
      </w:r>
      <w:r w:rsidR="002E3289">
        <w:t xml:space="preserve">ensure </w:t>
      </w:r>
      <w:r w:rsidR="00F1244A">
        <w:t xml:space="preserve">data provided through </w:t>
      </w:r>
      <w:r w:rsidR="00E05222">
        <w:t>the Air Data Warehouse</w:t>
      </w:r>
      <w:r w:rsidR="00F1244A">
        <w:t xml:space="preserve"> </w:t>
      </w:r>
      <w:r w:rsidR="00F244CE">
        <w:t xml:space="preserve">are </w:t>
      </w:r>
      <w:r w:rsidR="00F1244A">
        <w:t>of known quality. These assessments are done annually to minimize the distribution of erroneous data and to catch issues in a timely manner when resolution is possible.</w:t>
      </w:r>
    </w:p>
    <w:p w14:paraId="5D99DF7D" w14:textId="5B38B59A" w:rsidR="005E5F0A" w:rsidRDefault="00891315" w:rsidP="00891315">
      <w:r>
        <w:t xml:space="preserve">The data </w:t>
      </w:r>
      <w:r w:rsidR="00E20710">
        <w:t xml:space="preserve">review </w:t>
      </w:r>
      <w:r>
        <w:t xml:space="preserve">procedures developed for this annual review were piloted using 2020 data in Spring 2021. </w:t>
      </w:r>
      <w:r w:rsidR="00A917D7">
        <w:t>D</w:t>
      </w:r>
      <w:r w:rsidR="0054556D">
        <w:t xml:space="preserve">ata validation procedures used </w:t>
      </w:r>
      <w:r w:rsidR="00A917D7">
        <w:t>by</w:t>
      </w:r>
      <w:r w:rsidR="0054556D">
        <w:t xml:space="preserve"> other jurisdictions were consulted in developing the data review, including BC’s </w:t>
      </w:r>
      <w:r w:rsidR="0054556D" w:rsidRPr="0085203E">
        <w:t>Ministry of Environment and Climate Change Strategy</w:t>
      </w:r>
      <w:r w:rsidR="0054556D">
        <w:t xml:space="preserve">, the US Environmental Protection Agency, and the National Air Pollution Surveillance program. </w:t>
      </w:r>
      <w:r w:rsidR="00A3041F">
        <w:t xml:space="preserve"> </w:t>
      </w:r>
      <w:r w:rsidR="009E6C2C">
        <w:t>Development of</w:t>
      </w:r>
      <w:r w:rsidR="00A2318F">
        <w:t xml:space="preserve"> the annual review</w:t>
      </w:r>
      <w:r w:rsidR="0026535D">
        <w:t xml:space="preserve"> </w:t>
      </w:r>
      <w:r w:rsidR="009E6C2C">
        <w:t xml:space="preserve">process </w:t>
      </w:r>
      <w:r w:rsidR="0026535D">
        <w:t>also</w:t>
      </w:r>
      <w:r w:rsidR="00A2318F">
        <w:t xml:space="preserve"> </w:t>
      </w:r>
      <w:r w:rsidR="009E6C2C">
        <w:t>considered</w:t>
      </w:r>
      <w:r w:rsidR="00A2318F">
        <w:t xml:space="preserve"> </w:t>
      </w:r>
      <w:r w:rsidR="00A3041F">
        <w:t xml:space="preserve">automatic </w:t>
      </w:r>
      <w:r w:rsidR="00A2318F">
        <w:t>data validations impleme</w:t>
      </w:r>
      <w:r w:rsidR="00A3041F">
        <w:t>nted by the Air Data Warehouse</w:t>
      </w:r>
      <w:r w:rsidR="009E6C2C">
        <w:t xml:space="preserve">, </w:t>
      </w:r>
      <w:r w:rsidR="00A3041F">
        <w:t>includ</w:t>
      </w:r>
      <w:r w:rsidR="009E6C2C">
        <w:t>ing</w:t>
      </w:r>
      <w:r w:rsidR="00A3041F">
        <w:t xml:space="preserve"> </w:t>
      </w:r>
      <w:r w:rsidR="00CD428D">
        <w:t>validations</w:t>
      </w:r>
      <w:r w:rsidR="0026535D">
        <w:t xml:space="preserve"> that only </w:t>
      </w:r>
      <w:r w:rsidR="00A2318F">
        <w:t xml:space="preserve">result in a warning to the data submitter (as opposed to a failed submission), as well as validations </w:t>
      </w:r>
      <w:r w:rsidR="00CD428D">
        <w:t xml:space="preserve">anticipated </w:t>
      </w:r>
      <w:r w:rsidR="0026535D">
        <w:t>for development</w:t>
      </w:r>
      <w:r w:rsidR="00CD428D">
        <w:t xml:space="preserve"> in</w:t>
      </w:r>
      <w:r w:rsidR="00A3041F">
        <w:t xml:space="preserve"> future phases</w:t>
      </w:r>
      <w:r w:rsidR="00B52488">
        <w:t xml:space="preserve"> of the Air Data Warehouse</w:t>
      </w:r>
      <w:r w:rsidR="00A2318F">
        <w:t>.</w:t>
      </w:r>
      <w:r w:rsidR="0054556D">
        <w:t xml:space="preserve"> Through internal discussions, the most suitable checks were chosen for the development of the annual data review process. </w:t>
      </w:r>
      <w:r w:rsidR="00B87578">
        <w:t xml:space="preserve">Revisions to these procedures will occur in Fall 2021, based on the learnings of this pilot year. A revised version of the data </w:t>
      </w:r>
      <w:r w:rsidR="000C2D64">
        <w:t>review</w:t>
      </w:r>
      <w:r w:rsidR="00B87578">
        <w:t xml:space="preserve"> procedure will be used to perform the annual review of 2021 data in Spring 2022.</w:t>
      </w:r>
      <w:r w:rsidR="00666335">
        <w:t xml:space="preserve"> </w:t>
      </w:r>
      <w:r w:rsidR="00E05222">
        <w:t xml:space="preserve">It is expected that over time a reduced number of data quality issues will be found as growing pains associated with the new Air Data Warehouse are worked out, the root cause of data quality issues </w:t>
      </w:r>
      <w:proofErr w:type="gramStart"/>
      <w:r w:rsidR="00E05222">
        <w:t>are</w:t>
      </w:r>
      <w:proofErr w:type="gramEnd"/>
      <w:r w:rsidR="00E05222">
        <w:t xml:space="preserve"> resolved, and/or data providers incorporate similar data checks into </w:t>
      </w:r>
      <w:r w:rsidR="00A2318F">
        <w:t>their</w:t>
      </w:r>
      <w:r w:rsidR="00B52488">
        <w:t xml:space="preserve"> </w:t>
      </w:r>
      <w:r w:rsidR="00E05222">
        <w:t>validation procedures.</w:t>
      </w:r>
      <w:r w:rsidR="009A3796">
        <w:t xml:space="preserve"> </w:t>
      </w:r>
    </w:p>
    <w:p w14:paraId="731FA12A" w14:textId="691DA1B3" w:rsidR="000B0F94" w:rsidRDefault="005161C2" w:rsidP="000B0F94">
      <w:pPr>
        <w:pStyle w:val="Heading1"/>
      </w:pPr>
      <w:r>
        <w:t xml:space="preserve">2.0 </w:t>
      </w:r>
      <w:r w:rsidR="000B0F94">
        <w:t>Checks Performed</w:t>
      </w:r>
      <w:r w:rsidR="00E20710">
        <w:t xml:space="preserve"> in Data Review</w:t>
      </w:r>
    </w:p>
    <w:p w14:paraId="7CDB7FA8" w14:textId="0BBD461F" w:rsidR="00980E16" w:rsidRDefault="00E05222" w:rsidP="00E05222">
      <w:r>
        <w:t xml:space="preserve">Data for all Core Long Term monitoring stations for the considered parameters were downloaded </w:t>
      </w:r>
      <w:r w:rsidR="003726D0">
        <w:t xml:space="preserve">for 2017-2020 (2017-2019 data included to facilitate checks that required historical data) </w:t>
      </w:r>
      <w:r>
        <w:t>through internal access to the Air Data Warehouse using R</w:t>
      </w:r>
      <w:r w:rsidR="003726D0">
        <w:t xml:space="preserve"> </w:t>
      </w:r>
      <w:r w:rsidR="007F0D7C">
        <w:t>from</w:t>
      </w:r>
      <w:r w:rsidR="003726D0">
        <w:t xml:space="preserve"> February 24 – March 2, 2021</w:t>
      </w:r>
      <w:r>
        <w:t xml:space="preserve">. </w:t>
      </w:r>
      <w:r w:rsidR="00611E90">
        <w:t>Only data identified as valid by the data provid</w:t>
      </w:r>
      <w:r w:rsidR="000C2D64">
        <w:t>er</w:t>
      </w:r>
      <w:r w:rsidR="00611E90">
        <w:t xml:space="preserve"> are included in the </w:t>
      </w:r>
      <w:r w:rsidR="000C2D64">
        <w:t>review</w:t>
      </w:r>
      <w:r w:rsidR="00611E90">
        <w:t xml:space="preserve">. </w:t>
      </w:r>
      <w:r>
        <w:t xml:space="preserve">Parameters considered include: </w:t>
      </w:r>
    </w:p>
    <w:p w14:paraId="7737D0ED" w14:textId="27DF209C" w:rsidR="00980E16" w:rsidRDefault="00980E16" w:rsidP="004B3FB1">
      <w:pPr>
        <w:pStyle w:val="Bullets1"/>
      </w:pPr>
      <w:r>
        <w:t>CO</w:t>
      </w:r>
    </w:p>
    <w:p w14:paraId="35F2D7F7" w14:textId="3D700140" w:rsidR="00980E16" w:rsidRDefault="00980E16" w:rsidP="004B3FB1">
      <w:pPr>
        <w:pStyle w:val="Bullets1"/>
      </w:pPr>
      <w:r>
        <w:t>NO, NO</w:t>
      </w:r>
      <w:r>
        <w:rPr>
          <w:vertAlign w:val="subscript"/>
        </w:rPr>
        <w:t>2</w:t>
      </w:r>
      <w:r>
        <w:t>, and NO</w:t>
      </w:r>
      <w:r>
        <w:rPr>
          <w:vertAlign w:val="subscript"/>
        </w:rPr>
        <w:t>x</w:t>
      </w:r>
    </w:p>
    <w:p w14:paraId="0CECBF7B" w14:textId="5D398152" w:rsidR="00980E16" w:rsidRDefault="00980E16" w:rsidP="004B3FB1">
      <w:pPr>
        <w:pStyle w:val="Bullets1"/>
      </w:pPr>
      <w:r>
        <w:t>O</w:t>
      </w:r>
      <w:r>
        <w:rPr>
          <w:vertAlign w:val="subscript"/>
        </w:rPr>
        <w:t>3</w:t>
      </w:r>
    </w:p>
    <w:p w14:paraId="02231AC8" w14:textId="31340C46" w:rsidR="00980E16" w:rsidRDefault="00980E16" w:rsidP="004B3FB1">
      <w:pPr>
        <w:pStyle w:val="Bullets1"/>
      </w:pPr>
      <w:r>
        <w:t>PM</w:t>
      </w:r>
      <w:r>
        <w:rPr>
          <w:vertAlign w:val="subscript"/>
        </w:rPr>
        <w:t>2.5</w:t>
      </w:r>
    </w:p>
    <w:p w14:paraId="34C7ADCD" w14:textId="2FC10318" w:rsidR="00980E16" w:rsidRDefault="00980E16" w:rsidP="004B3FB1">
      <w:pPr>
        <w:pStyle w:val="Bullets1"/>
      </w:pPr>
      <w:r>
        <w:t>SO</w:t>
      </w:r>
      <w:r>
        <w:rPr>
          <w:vertAlign w:val="subscript"/>
        </w:rPr>
        <w:t>2</w:t>
      </w:r>
    </w:p>
    <w:p w14:paraId="1AA083DE" w14:textId="368A1766" w:rsidR="00980E16" w:rsidRDefault="00980E16" w:rsidP="004B3FB1">
      <w:pPr>
        <w:pStyle w:val="Bullets1"/>
      </w:pPr>
      <w:r>
        <w:t>H</w:t>
      </w:r>
      <w:r>
        <w:rPr>
          <w:vertAlign w:val="subscript"/>
        </w:rPr>
        <w:t>2</w:t>
      </w:r>
      <w:r>
        <w:t>S and TRS</w:t>
      </w:r>
    </w:p>
    <w:p w14:paraId="6AB0792C" w14:textId="097F8FF5" w:rsidR="00980E16" w:rsidRDefault="00980E16" w:rsidP="004B3FB1">
      <w:pPr>
        <w:pStyle w:val="Bullets1"/>
      </w:pPr>
      <w:r>
        <w:t>NMHC, CH</w:t>
      </w:r>
      <w:r>
        <w:rPr>
          <w:vertAlign w:val="subscript"/>
        </w:rPr>
        <w:t>4</w:t>
      </w:r>
      <w:r>
        <w:t>, and THC</w:t>
      </w:r>
    </w:p>
    <w:p w14:paraId="7DC2565C" w14:textId="63E12474" w:rsidR="00980E16" w:rsidRDefault="00980E16" w:rsidP="004B3FB1">
      <w:pPr>
        <w:pStyle w:val="Bullets1"/>
      </w:pPr>
      <w:r>
        <w:t>Outdoor Air Temperature</w:t>
      </w:r>
    </w:p>
    <w:p w14:paraId="4F405A65" w14:textId="35AD226C" w:rsidR="00980E16" w:rsidRDefault="00980E16" w:rsidP="004B3FB1">
      <w:pPr>
        <w:pStyle w:val="Bullets1"/>
      </w:pPr>
      <w:r>
        <w:t>Relative Humidity</w:t>
      </w:r>
    </w:p>
    <w:p w14:paraId="24F4A487" w14:textId="033358C5" w:rsidR="00980E16" w:rsidRDefault="00980E16" w:rsidP="004B3FB1">
      <w:pPr>
        <w:pStyle w:val="Bullets1"/>
      </w:pPr>
      <w:r>
        <w:t>Wind Speed (at 10 m, or lowest height) and Wind Direction (at 10 m, or lowest height)</w:t>
      </w:r>
    </w:p>
    <w:p w14:paraId="1C64FDE8" w14:textId="14D01E5D" w:rsidR="00905428" w:rsidRDefault="001F6BEA" w:rsidP="002F5C6E">
      <w:r>
        <w:t xml:space="preserve">The purpose of the annual review is to identify potential data quality issues that need to be investigated/followed up on with the data provider. </w:t>
      </w:r>
      <w:r w:rsidR="00CF3728">
        <w:t xml:space="preserve">There are various data checks included in the review process (Sections 2.1-2.6). </w:t>
      </w:r>
      <w:r>
        <w:t xml:space="preserve">Each check </w:t>
      </w:r>
      <w:r w:rsidR="00CF3728">
        <w:t>results in</w:t>
      </w:r>
      <w:r>
        <w:t xml:space="preserve"> an output file</w:t>
      </w:r>
      <w:r w:rsidR="00CF3728">
        <w:t xml:space="preserve">. The output files contain </w:t>
      </w:r>
      <w:r>
        <w:t xml:space="preserve">instances of which data pass/fail each check. R scripts and various R packages </w:t>
      </w:r>
      <w:r w:rsidR="00CF3728">
        <w:t xml:space="preserve">are used to </w:t>
      </w:r>
      <w:r w:rsidR="00CF3728">
        <w:lastRenderedPageBreak/>
        <w:t xml:space="preserve">perform </w:t>
      </w:r>
      <w:r w:rsidR="007578DA">
        <w:t xml:space="preserve">most of the </w:t>
      </w:r>
      <w:r w:rsidR="00CF3728">
        <w:t xml:space="preserve">checks; the use of scripts has </w:t>
      </w:r>
      <w:r>
        <w:t>made the handling of large datasets and iterative calculations easier, but these data checks could be done using other methods.</w:t>
      </w:r>
    </w:p>
    <w:p w14:paraId="2F308359" w14:textId="36076AC9" w:rsidR="00A917D7" w:rsidRDefault="00980E16" w:rsidP="002F5C6E">
      <w:r>
        <w:t>Data that failed the checks are tagged for additional investigation</w:t>
      </w:r>
      <w:r w:rsidR="003520B0">
        <w:t xml:space="preserve">. </w:t>
      </w:r>
      <w:r w:rsidR="004E02AB">
        <w:t>Investigation activities may</w:t>
      </w:r>
      <w:r w:rsidR="003520B0">
        <w:t xml:space="preserve"> include </w:t>
      </w:r>
      <w:r w:rsidR="002B123C">
        <w:t xml:space="preserve">closer </w:t>
      </w:r>
      <w:r w:rsidR="003520B0">
        <w:t>visual examination of the time series, comparison between parameters and nearby stations,</w:t>
      </w:r>
      <w:r w:rsidR="007264D1">
        <w:t xml:space="preserve"> and</w:t>
      </w:r>
      <w:r w:rsidR="003520B0">
        <w:t xml:space="preserve"> reviewing monthly monitoring and calibration reports. Where warranted, data providers </w:t>
      </w:r>
      <w:r w:rsidR="00CF3728">
        <w:t>may</w:t>
      </w:r>
      <w:r w:rsidR="00250564">
        <w:t xml:space="preserve"> </w:t>
      </w:r>
      <w:r w:rsidR="00CF3728">
        <w:t xml:space="preserve">be contacted </w:t>
      </w:r>
      <w:r w:rsidR="003520B0">
        <w:t xml:space="preserve">to further </w:t>
      </w:r>
      <w:r w:rsidR="00CF3728">
        <w:t xml:space="preserve">discuss the </w:t>
      </w:r>
      <w:r w:rsidR="003520B0">
        <w:t xml:space="preserve">validity of data and </w:t>
      </w:r>
      <w:r w:rsidR="008625A4">
        <w:t xml:space="preserve">to apply </w:t>
      </w:r>
      <w:r w:rsidR="003520B0">
        <w:t>corrections as needed.</w:t>
      </w:r>
    </w:p>
    <w:bookmarkEnd w:id="1"/>
    <w:p w14:paraId="1F76B189" w14:textId="18AA3EB7" w:rsidR="00CD0857" w:rsidRDefault="005161C2" w:rsidP="00E54FC6">
      <w:pPr>
        <w:pStyle w:val="Heading2"/>
      </w:pPr>
      <w:r>
        <w:t>2.</w:t>
      </w:r>
      <w:r w:rsidR="00250564">
        <w:t>1</w:t>
      </w:r>
      <w:r>
        <w:t xml:space="preserve"> </w:t>
      </w:r>
      <w:r w:rsidR="000B0F94">
        <w:t>Range in Values Checks</w:t>
      </w:r>
    </w:p>
    <w:p w14:paraId="5D67F964" w14:textId="7E9A9C7E" w:rsidR="0008260A" w:rsidRPr="00D065E5" w:rsidRDefault="0008260A" w:rsidP="002F5C6E">
      <w:r>
        <w:t>The range in values checks look for instances where the values do not fall within the expected range for a given parameter. There are three checks in this category: (1) Wind Direction Range; (2)</w:t>
      </w:r>
      <w:r w:rsidR="0088302E" w:rsidRPr="0088302E">
        <w:t xml:space="preserve"> </w:t>
      </w:r>
      <w:r w:rsidR="0088302E">
        <w:t>Outliers</w:t>
      </w:r>
      <w:r>
        <w:t xml:space="preserve">; (3) </w:t>
      </w:r>
      <w:r w:rsidR="0088302E">
        <w:t>Rate of Change/Spike</w:t>
      </w:r>
      <w:r>
        <w:t>.</w:t>
      </w:r>
    </w:p>
    <w:p w14:paraId="27859031" w14:textId="4089CEBD" w:rsidR="00CD0857" w:rsidRDefault="005161C2" w:rsidP="00EB6203">
      <w:pPr>
        <w:pStyle w:val="Heading3"/>
      </w:pPr>
      <w:r>
        <w:t>2.</w:t>
      </w:r>
      <w:r w:rsidR="00250564">
        <w:t>1</w:t>
      </w:r>
      <w:r>
        <w:t xml:space="preserve">.1 </w:t>
      </w:r>
      <w:r w:rsidR="000B0F94">
        <w:t>Wind Direction Range</w:t>
      </w:r>
    </w:p>
    <w:p w14:paraId="6116CEB8" w14:textId="79C08446" w:rsidR="00D065E5" w:rsidRDefault="00F9727B" w:rsidP="00A41888">
      <w:pPr>
        <w:pStyle w:val="Bullets1"/>
      </w:pPr>
      <w:r>
        <w:t xml:space="preserve">To check that the wind direction from a station spans the full 0-360º, </w:t>
      </w:r>
      <w:r w:rsidR="000B0F94">
        <w:t>the number of hours with wind direction values in each quadrant</w:t>
      </w:r>
      <w:r>
        <w:t xml:space="preserve"> (Figure 1) during the month were counted.</w:t>
      </w:r>
    </w:p>
    <w:p w14:paraId="1C7CBED3" w14:textId="43AAA4AA" w:rsidR="007F0D7C" w:rsidRDefault="003520B0" w:rsidP="007F0D7C">
      <w:pPr>
        <w:pStyle w:val="Bullets1"/>
      </w:pPr>
      <w:r>
        <w:t>Any</w:t>
      </w:r>
      <w:r w:rsidR="001F6B22">
        <w:t xml:space="preserve"> </w:t>
      </w:r>
      <w:r w:rsidR="001C1969">
        <w:t xml:space="preserve">station with </w:t>
      </w:r>
      <w:r w:rsidR="00F9727B">
        <w:t>a</w:t>
      </w:r>
      <w:r w:rsidR="001C1969">
        <w:t xml:space="preserve"> </w:t>
      </w:r>
      <w:r w:rsidR="001F6B22">
        <w:t>month</w:t>
      </w:r>
      <w:r>
        <w:t xml:space="preserve"> </w:t>
      </w:r>
      <w:r w:rsidR="001C1969">
        <w:t xml:space="preserve">of no data in </w:t>
      </w:r>
      <w:r w:rsidR="00104B5D">
        <w:t xml:space="preserve">any </w:t>
      </w:r>
      <w:r w:rsidR="001C1969">
        <w:t xml:space="preserve">one of the quadrants </w:t>
      </w:r>
      <w:r w:rsidR="00F9727B">
        <w:t>was tagged</w:t>
      </w:r>
      <w:r w:rsidR="001C1969">
        <w:t xml:space="preserve"> for </w:t>
      </w:r>
      <w:r w:rsidR="00104B5D">
        <w:t>supplementary examination</w:t>
      </w:r>
      <w:r w:rsidR="00A270F7">
        <w:t>.</w:t>
      </w:r>
    </w:p>
    <w:p w14:paraId="49D33607" w14:textId="047BEA00" w:rsidR="007F0D7C" w:rsidRDefault="003520B0" w:rsidP="007F0D7C">
      <w:pPr>
        <w:pStyle w:val="Bullets1"/>
      </w:pPr>
      <w:r>
        <w:t>Supplementary examination of wind direction time series is conducted to evaluate the extent of the reporting issue</w:t>
      </w:r>
      <w:r w:rsidR="00A270F7">
        <w:t>.</w:t>
      </w:r>
    </w:p>
    <w:p w14:paraId="7BC9FED3" w14:textId="78B16DEE" w:rsidR="00537645" w:rsidRPr="007F0D7C" w:rsidRDefault="00537645" w:rsidP="007F0D7C">
      <w:pPr>
        <w:jc w:val="center"/>
      </w:pPr>
      <w:r w:rsidRPr="00537645">
        <w:rPr>
          <w:noProof/>
        </w:rPr>
        <w:drawing>
          <wp:inline distT="0" distB="0" distL="0" distR="0" wp14:anchorId="6D01225F" wp14:editId="074253F1">
            <wp:extent cx="1806291" cy="1645920"/>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7"/>
                    <a:stretch>
                      <a:fillRect/>
                    </a:stretch>
                  </pic:blipFill>
                  <pic:spPr>
                    <a:xfrm>
                      <a:off x="0" y="0"/>
                      <a:ext cx="1806291" cy="1645920"/>
                    </a:xfrm>
                    <a:prstGeom prst="rect">
                      <a:avLst/>
                    </a:prstGeom>
                  </pic:spPr>
                </pic:pic>
              </a:graphicData>
            </a:graphic>
          </wp:inline>
        </w:drawing>
      </w:r>
    </w:p>
    <w:p w14:paraId="699AAE2F" w14:textId="508D643B" w:rsidR="001F6B22" w:rsidRDefault="00537645" w:rsidP="007264D1">
      <w:pPr>
        <w:pStyle w:val="Caption"/>
        <w:ind w:left="720" w:hanging="720"/>
      </w:pPr>
      <w:r>
        <w:t xml:space="preserve">Figure </w:t>
      </w:r>
      <w:fldSimple w:instr=" SEQ Figure \* ARABIC ">
        <w:r>
          <w:rPr>
            <w:noProof/>
          </w:rPr>
          <w:t>1</w:t>
        </w:r>
      </w:fldSimple>
      <w:r w:rsidR="007264D1">
        <w:rPr>
          <w:noProof/>
        </w:rPr>
        <w:t xml:space="preserve">: </w:t>
      </w:r>
      <w:r>
        <w:t xml:space="preserve">Diagram showing the four wind quadrants, where Quadrant 1 = 0 &lt; </w:t>
      </w:r>
      <w:r w:rsidR="003A0A54">
        <w:t>wind direction (</w:t>
      </w:r>
      <w:r>
        <w:t>WD</w:t>
      </w:r>
      <w:r w:rsidR="003A0A54">
        <w:t>)</w:t>
      </w:r>
      <w:r>
        <w:t xml:space="preserve"> &gt;= 90°, Quadrant 2 = 90 &lt; WD &gt;=180°, Quadrant 3 = 180&lt; WD &gt;=270°, and Quadrant 4 = 270 &lt; WD &gt;=360°.</w:t>
      </w:r>
    </w:p>
    <w:p w14:paraId="4E221B1E" w14:textId="5DA59027" w:rsidR="0088302E" w:rsidRDefault="0088302E" w:rsidP="0088302E">
      <w:pPr>
        <w:pStyle w:val="Heading3"/>
      </w:pPr>
      <w:r>
        <w:t>2.1.2 Outliers</w:t>
      </w:r>
    </w:p>
    <w:p w14:paraId="0D772DBC" w14:textId="5016228F" w:rsidR="0088302E" w:rsidRDefault="0088302E" w:rsidP="0088302E">
      <w:pPr>
        <w:pStyle w:val="Bullets1"/>
      </w:pPr>
      <w:r>
        <w:t>The outlier check is applied to all parameters except wind direction and temperature.</w:t>
      </w:r>
    </w:p>
    <w:p w14:paraId="302244FD" w14:textId="5980A38F" w:rsidR="0088302E" w:rsidRDefault="0088302E" w:rsidP="001B4E65">
      <w:pPr>
        <w:pStyle w:val="Bullets1"/>
        <w:spacing w:after="0"/>
      </w:pPr>
      <w:r>
        <w:t xml:space="preserve">For each month of the year, the mean and standard deviation of the </w:t>
      </w:r>
      <w:r w:rsidR="009B350A">
        <w:t xml:space="preserve">hourly values from the </w:t>
      </w:r>
      <w:r>
        <w:t xml:space="preserve">previous three years of data at the station were calculated. These are hereafter referred to as the “reference mean” and “reference </w:t>
      </w:r>
      <w:proofErr w:type="spellStart"/>
      <w:r>
        <w:t>sd</w:t>
      </w:r>
      <w:proofErr w:type="spellEnd"/>
      <w:r>
        <w:t>”, respectively.</w:t>
      </w:r>
    </w:p>
    <w:p w14:paraId="2DBD6086" w14:textId="77777777" w:rsidR="0088302E" w:rsidRPr="00D943AE" w:rsidRDefault="0088302E" w:rsidP="001B4E65">
      <w:pPr>
        <w:pStyle w:val="Bullets2"/>
        <w:spacing w:after="0"/>
      </w:pPr>
      <w:r>
        <w:t xml:space="preserve">As the </w:t>
      </w:r>
      <w:r w:rsidRPr="005C1410">
        <w:t>previous</w:t>
      </w:r>
      <w:r>
        <w:t xml:space="preserve"> three years of data at the station are required for this check, if a station does not have these data available, the check is skipped.</w:t>
      </w:r>
    </w:p>
    <w:p w14:paraId="552CBA83" w14:textId="622E3D2D" w:rsidR="0088302E" w:rsidRDefault="0088302E" w:rsidP="0088302E">
      <w:pPr>
        <w:pStyle w:val="Bullets1"/>
      </w:pPr>
      <w:r>
        <w:t>For each month, hours which ex</w:t>
      </w:r>
      <w:r w:rsidR="00A270F7">
        <w:t xml:space="preserve">ceed the threshold are tagged. </w:t>
      </w:r>
      <w:r>
        <w:t>The threshold is defined as follows</w:t>
      </w:r>
      <w:r>
        <w:br/>
      </w:r>
      <m:oMathPara>
        <m:oMath>
          <m:r>
            <w:rPr>
              <w:rFonts w:ascii="Cambria Math" w:hAnsi="Cambria Math"/>
            </w:rPr>
            <m:t>reference mean ±</m:t>
          </m:r>
          <m:d>
            <m:dPr>
              <m:ctrlPr>
                <w:rPr>
                  <w:rFonts w:ascii="Cambria Math" w:hAnsi="Cambria Math"/>
                  <w:i/>
                </w:rPr>
              </m:ctrlPr>
            </m:dPr>
            <m:e>
              <m:r>
                <w:rPr>
                  <w:rFonts w:ascii="Cambria Math" w:hAnsi="Cambria Math"/>
                </w:rPr>
                <m:t>10×reference sd</m:t>
              </m:r>
            </m:e>
          </m:d>
          <m:r>
            <w:rPr>
              <w:rFonts w:ascii="Cambria Math" w:hAnsi="Cambria Math"/>
            </w:rPr>
            <m:t>= threshold</m:t>
          </m:r>
        </m:oMath>
      </m:oMathPara>
    </w:p>
    <w:p w14:paraId="2FFC1885" w14:textId="77777777" w:rsidR="0088302E" w:rsidRDefault="0088302E" w:rsidP="0088302E">
      <w:pPr>
        <w:pStyle w:val="Bullets1"/>
        <w:spacing w:after="0"/>
      </w:pPr>
      <w:r>
        <w:t xml:space="preserve">Notes from the pilot year: </w:t>
      </w:r>
    </w:p>
    <w:p w14:paraId="7545737D" w14:textId="77777777" w:rsidR="0088302E" w:rsidRDefault="0088302E" w:rsidP="0088302E">
      <w:pPr>
        <w:pStyle w:val="Bullets2"/>
      </w:pPr>
      <w:r>
        <w:t xml:space="preserve">In some cases, there may be </w:t>
      </w:r>
      <w:proofErr w:type="gramStart"/>
      <w:r>
        <w:t>a large number of</w:t>
      </w:r>
      <w:proofErr w:type="gramEnd"/>
      <w:r>
        <w:t xml:space="preserve"> hours which exceed the threshold marginally (&lt;5 ppb) and likely do not require review.</w:t>
      </w:r>
    </w:p>
    <w:p w14:paraId="046C8610" w14:textId="77777777" w:rsidR="0088302E" w:rsidRDefault="0088302E" w:rsidP="0088302E">
      <w:pPr>
        <w:pStyle w:val="Bullets2"/>
        <w:numPr>
          <w:ilvl w:val="2"/>
          <w:numId w:val="11"/>
        </w:numPr>
        <w:ind w:left="720"/>
      </w:pPr>
      <w:r>
        <w:t>For example, there were many outlier hours identified for SO</w:t>
      </w:r>
      <w:r>
        <w:rPr>
          <w:vertAlign w:val="subscript"/>
        </w:rPr>
        <w:t xml:space="preserve">2. </w:t>
      </w:r>
      <w:r>
        <w:t>In cases such as this, it was helpful to filter the hours that exceeded the threshold by at least 10 ppb to focus review of data on the most notable outliers.</w:t>
      </w:r>
      <w:r w:rsidDel="00654485">
        <w:t xml:space="preserve"> </w:t>
      </w:r>
    </w:p>
    <w:p w14:paraId="4041E9FC" w14:textId="6BA8ED0D" w:rsidR="0088302E" w:rsidRPr="00F80736" w:rsidRDefault="0088302E" w:rsidP="0088302E">
      <w:pPr>
        <w:pStyle w:val="Bullets2"/>
      </w:pPr>
      <w:r>
        <w:t xml:space="preserve">The outlier check requires data for the previous three years. Stations that did not have historical data were skipped. Instead, </w:t>
      </w:r>
      <w:r w:rsidRPr="00F80736">
        <w:t>the Rate of Change/Spike check (Section 2.</w:t>
      </w:r>
      <w:r>
        <w:t>1</w:t>
      </w:r>
      <w:r w:rsidRPr="00F80736">
        <w:t>.</w:t>
      </w:r>
      <w:r>
        <w:t>3</w:t>
      </w:r>
      <w:r w:rsidRPr="00F80736">
        <w:t>) and/or Visual Time Series Review (</w:t>
      </w:r>
      <w:r>
        <w:t>Section</w:t>
      </w:r>
      <w:r w:rsidRPr="00F80736">
        <w:t xml:space="preserve"> 2.</w:t>
      </w:r>
      <w:r w:rsidR="00A270F7">
        <w:t>5</w:t>
      </w:r>
      <w:r w:rsidRPr="00F80736">
        <w:t xml:space="preserve">) </w:t>
      </w:r>
      <w:r>
        <w:t>were used to identify possible data anomalies.</w:t>
      </w:r>
    </w:p>
    <w:p w14:paraId="170FA463" w14:textId="7487A2A2" w:rsidR="0088302E" w:rsidRPr="0088302E" w:rsidRDefault="0088302E" w:rsidP="0088302E">
      <w:pPr>
        <w:pStyle w:val="Bullets2"/>
        <w:numPr>
          <w:ilvl w:val="2"/>
          <w:numId w:val="11"/>
        </w:numPr>
        <w:ind w:left="720"/>
      </w:pPr>
      <w:r>
        <w:t>In future years, alternatives to this approach may be used, including using less than three years of data for the reference mean and reference sd.</w:t>
      </w:r>
    </w:p>
    <w:p w14:paraId="1838CF28" w14:textId="7E3373BA" w:rsidR="00A41888" w:rsidRDefault="005161C2" w:rsidP="00A41888">
      <w:pPr>
        <w:pStyle w:val="Heading3"/>
      </w:pPr>
      <w:r>
        <w:t>2.</w:t>
      </w:r>
      <w:r w:rsidR="00250564">
        <w:t>1</w:t>
      </w:r>
      <w:r>
        <w:t>.</w:t>
      </w:r>
      <w:r w:rsidR="0088302E">
        <w:t>3</w:t>
      </w:r>
      <w:r>
        <w:t xml:space="preserve"> </w:t>
      </w:r>
      <w:r w:rsidR="00A41888">
        <w:t>Rate of Change/Spike</w:t>
      </w:r>
    </w:p>
    <w:p w14:paraId="4A19C2AD" w14:textId="0FB8EBA8" w:rsidR="0088302E" w:rsidRDefault="0088302E" w:rsidP="0088302E">
      <w:pPr>
        <w:pStyle w:val="Bullets1"/>
      </w:pPr>
      <w:r>
        <w:t>Unlike the outlier check (Section 2.1.2) which is applied to all parameters except wind direction and temperature, the rate of change/spike check is applied to only</w:t>
      </w:r>
      <w:r w:rsidR="007264D1">
        <w:t xml:space="preserve"> a</w:t>
      </w:r>
      <w:r>
        <w:t xml:space="preserve"> select set of parameters.</w:t>
      </w:r>
      <w:r w:rsidRPr="000D43B8">
        <w:t xml:space="preserve"> </w:t>
      </w:r>
      <w:r>
        <w:t xml:space="preserve">In </w:t>
      </w:r>
      <w:r w:rsidR="00444044">
        <w:t>addition,</w:t>
      </w:r>
      <w:r>
        <w:t xml:space="preserve"> this check does not compare the data being reviewed to data reported for previous years.  </w:t>
      </w:r>
    </w:p>
    <w:p w14:paraId="7AC8D82C" w14:textId="237F6580" w:rsidR="00E25163" w:rsidRDefault="00537645" w:rsidP="00A41888">
      <w:pPr>
        <w:pStyle w:val="Bullets1"/>
      </w:pPr>
      <w:r>
        <w:t>This check is applied to all parameters for which a maximum rate of change has been defined</w:t>
      </w:r>
      <w:r w:rsidR="00F9727B">
        <w:t xml:space="preserve"> (Table 1)</w:t>
      </w:r>
      <w:r>
        <w:t>.</w:t>
      </w:r>
      <w:r w:rsidR="000E47C0">
        <w:t xml:space="preserve"> </w:t>
      </w:r>
    </w:p>
    <w:p w14:paraId="1E8BC592" w14:textId="1C91F81C" w:rsidR="00A41888" w:rsidRDefault="004A4EEE" w:rsidP="00A41888">
      <w:pPr>
        <w:pStyle w:val="Bullets1"/>
      </w:pPr>
      <w:r>
        <w:lastRenderedPageBreak/>
        <w:t>For each parameter at each station</w:t>
      </w:r>
      <w:r w:rsidR="001F6B22">
        <w:t>,</w:t>
      </w:r>
      <w:r w:rsidR="00A41888" w:rsidRPr="00A41888">
        <w:t xml:space="preserve"> the rate of change between each </w:t>
      </w:r>
      <w:r w:rsidR="00A41888" w:rsidRPr="00444044">
        <w:rPr>
          <w:highlight w:val="yellow"/>
        </w:rPr>
        <w:t>consecutive hour</w:t>
      </w:r>
      <w:r w:rsidR="00F9727B" w:rsidRPr="00444044">
        <w:rPr>
          <w:highlight w:val="yellow"/>
        </w:rPr>
        <w:t xml:space="preserve"> was calculated</w:t>
      </w:r>
      <w:r w:rsidR="00A41888" w:rsidRPr="00A41888">
        <w:t xml:space="preserve">. </w:t>
      </w:r>
    </w:p>
    <w:p w14:paraId="1AC7DFF2" w14:textId="0CA9A32A" w:rsidR="00AE6EC3" w:rsidRDefault="00F9727B" w:rsidP="007F0D7C">
      <w:pPr>
        <w:pStyle w:val="Bullets1"/>
      </w:pPr>
      <w:r>
        <w:t xml:space="preserve">The sample period is tagged for further examination </w:t>
      </w:r>
      <w:r w:rsidR="00250564">
        <w:t>w</w:t>
      </w:r>
      <w:r w:rsidR="00A41888">
        <w:t>hen</w:t>
      </w:r>
      <w:r w:rsidR="00A41888" w:rsidRPr="00A41888">
        <w:t xml:space="preserve"> the absolute value of the rate of change exceeds the limit defined in </w:t>
      </w:r>
      <w:r w:rsidR="000E47C0">
        <w:t>Table 1</w:t>
      </w:r>
      <w:r w:rsidR="00A41888">
        <w:t xml:space="preserve">. </w:t>
      </w:r>
    </w:p>
    <w:p w14:paraId="0E81DC84" w14:textId="77777777" w:rsidR="00A917D7" w:rsidRDefault="00A917D7" w:rsidP="00A917D7">
      <w:pPr>
        <w:pStyle w:val="Bullets1"/>
        <w:spacing w:after="0"/>
      </w:pPr>
      <w:r>
        <w:t xml:space="preserve">Notes from the pilot year: </w:t>
      </w:r>
    </w:p>
    <w:p w14:paraId="26F56568" w14:textId="77777777" w:rsidR="00A917D7" w:rsidRDefault="00A917D7" w:rsidP="00A917D7">
      <w:pPr>
        <w:pStyle w:val="Bullets2"/>
      </w:pPr>
      <w:r>
        <w:t>There were many instances in which the Rate of Change/Spike check and the Outlier check flagged the same hours. In these cases, one of the two checks was used to conduct any further investigation as needed, with the outlier check taking precedence.</w:t>
      </w:r>
    </w:p>
    <w:p w14:paraId="00E70555" w14:textId="1F21D5D6" w:rsidR="00AE6EC3" w:rsidRPr="00EF17ED" w:rsidRDefault="00AE6EC3" w:rsidP="00AE6EC3">
      <w:pPr>
        <w:pStyle w:val="TableH1"/>
      </w:pPr>
      <w:r>
        <w:t>Table 1</w:t>
      </w:r>
      <w:r w:rsidR="00111FC1">
        <w:t>:</w:t>
      </w:r>
      <w:r>
        <w:t xml:space="preserve"> </w:t>
      </w:r>
      <w:r w:rsidR="00111FC1">
        <w:t>R</w:t>
      </w:r>
      <w:r>
        <w:t xml:space="preserve">ate of change </w:t>
      </w:r>
      <w:r w:rsidR="00111FC1">
        <w:t>m</w:t>
      </w:r>
      <w:r>
        <w:t xml:space="preserve">aximums for </w:t>
      </w:r>
      <w:r w:rsidR="00111FC1">
        <w:t>s</w:t>
      </w:r>
      <w:r>
        <w:t xml:space="preserve">elect </w:t>
      </w:r>
      <w:r w:rsidR="00111FC1">
        <w:t>p</w:t>
      </w:r>
      <w:r>
        <w:t>arameters</w:t>
      </w:r>
    </w:p>
    <w:p w14:paraId="39C44D1E" w14:textId="08DE952B" w:rsidR="00AE6EC3" w:rsidRDefault="00AE6EC3" w:rsidP="00405072">
      <w:pPr>
        <w:pStyle w:val="TableH2"/>
        <w:spacing w:after="60"/>
        <w:rPr>
          <w:rFonts w:cs="Arial"/>
        </w:rPr>
      </w:pPr>
      <w:r w:rsidRPr="002F0AF1">
        <w:rPr>
          <w:rFonts w:cs="Arial"/>
        </w:rPr>
        <w:t>All values are in ppm/</w:t>
      </w:r>
      <w:proofErr w:type="spellStart"/>
      <w:r w:rsidRPr="002F0AF1">
        <w:rPr>
          <w:rFonts w:cs="Arial"/>
        </w:rPr>
        <w:t>hr</w:t>
      </w:r>
      <w:proofErr w:type="spellEnd"/>
      <w:r w:rsidRPr="002F0AF1">
        <w:rPr>
          <w:rFonts w:cs="Arial"/>
        </w:rPr>
        <w:t xml:space="preserve"> except for PM</w:t>
      </w:r>
      <w:r w:rsidRPr="002F0AF1">
        <w:rPr>
          <w:rFonts w:cs="Arial"/>
          <w:vertAlign w:val="subscript"/>
        </w:rPr>
        <w:t>2.5</w:t>
      </w:r>
      <w:r w:rsidRPr="002F0AF1">
        <w:rPr>
          <w:rFonts w:cs="Arial"/>
        </w:rPr>
        <w:t xml:space="preserve"> (</w:t>
      </w:r>
      <w:proofErr w:type="spellStart"/>
      <w:r>
        <w:rPr>
          <w:rFonts w:cs="Arial"/>
        </w:rPr>
        <w:t>μ</w:t>
      </w:r>
      <w:r w:rsidRPr="002F0AF1">
        <w:rPr>
          <w:rFonts w:cs="Arial"/>
        </w:rPr>
        <w:t>g</w:t>
      </w:r>
      <w:proofErr w:type="spellEnd"/>
      <w:r w:rsidRPr="002F0AF1">
        <w:rPr>
          <w:rFonts w:cs="Arial"/>
        </w:rPr>
        <w:t>/m</w:t>
      </w:r>
      <w:r w:rsidRPr="002F0AF1">
        <w:rPr>
          <w:rFonts w:cs="Arial"/>
          <w:vertAlign w:val="superscript"/>
        </w:rPr>
        <w:t>3</w:t>
      </w:r>
      <w:r w:rsidR="007264D1">
        <w:rPr>
          <w:rFonts w:cs="Arial"/>
        </w:rPr>
        <w:t>hr).</w:t>
      </w:r>
    </w:p>
    <w:tbl>
      <w:tblPr>
        <w:tblW w:w="0" w:type="auto"/>
        <w:tblInd w:w="-8" w:type="dxa"/>
        <w:tblBorders>
          <w:top w:val="single" w:sz="4" w:space="0" w:color="auto"/>
          <w:bottom w:val="single" w:sz="4" w:space="0" w:color="auto"/>
        </w:tblBorders>
        <w:tblCellMar>
          <w:left w:w="72" w:type="dxa"/>
          <w:right w:w="72" w:type="dxa"/>
        </w:tblCellMar>
        <w:tblLook w:val="0000" w:firstRow="0" w:lastRow="0" w:firstColumn="0" w:lastColumn="0" w:noHBand="0" w:noVBand="0"/>
      </w:tblPr>
      <w:tblGrid>
        <w:gridCol w:w="863"/>
        <w:gridCol w:w="1745"/>
      </w:tblGrid>
      <w:tr w:rsidR="00AE6EC3" w:rsidRPr="00EF17ED" w14:paraId="7397966C" w14:textId="77777777" w:rsidTr="002C17FF">
        <w:tc>
          <w:tcPr>
            <w:tcW w:w="0" w:type="auto"/>
            <w:tcBorders>
              <w:top w:val="nil"/>
              <w:bottom w:val="single" w:sz="4" w:space="0" w:color="auto"/>
            </w:tcBorders>
            <w:tcMar>
              <w:top w:w="80" w:type="dxa"/>
              <w:left w:w="0" w:type="dxa"/>
              <w:bottom w:w="80" w:type="dxa"/>
              <w:right w:w="80" w:type="dxa"/>
            </w:tcMar>
            <w:vAlign w:val="center"/>
          </w:tcPr>
          <w:p w14:paraId="3ACF5D6E" w14:textId="77777777" w:rsidR="00AE6EC3" w:rsidRPr="00EF17ED" w:rsidRDefault="00AE6EC3" w:rsidP="002C17FF">
            <w:pPr>
              <w:pStyle w:val="TableData-LeftAlignInteriorTableChartGraph"/>
              <w:rPr>
                <w:rFonts w:ascii="Arial" w:hAnsi="Arial" w:cs="Arial"/>
              </w:rPr>
            </w:pPr>
            <w:r>
              <w:rPr>
                <w:rStyle w:val="Table-Medium"/>
                <w:rFonts w:ascii="Arial" w:hAnsi="Arial" w:cs="Arial"/>
                <w:b/>
              </w:rPr>
              <w:t>Parameter</w:t>
            </w:r>
          </w:p>
        </w:tc>
        <w:tc>
          <w:tcPr>
            <w:tcW w:w="0" w:type="auto"/>
            <w:tcBorders>
              <w:top w:val="nil"/>
              <w:bottom w:val="single" w:sz="4" w:space="0" w:color="auto"/>
            </w:tcBorders>
            <w:tcMar>
              <w:top w:w="80" w:type="dxa"/>
              <w:left w:w="80" w:type="dxa"/>
              <w:bottom w:w="80" w:type="dxa"/>
              <w:right w:w="80" w:type="dxa"/>
            </w:tcMar>
            <w:vAlign w:val="center"/>
          </w:tcPr>
          <w:p w14:paraId="4040089F" w14:textId="13C1CC4C" w:rsidR="00AE6EC3" w:rsidRPr="00AE6EC3" w:rsidRDefault="00AE6EC3" w:rsidP="002C17FF">
            <w:pPr>
              <w:pStyle w:val="TableData-RightAlignInteriorTableChartGraph"/>
              <w:rPr>
                <w:rFonts w:ascii="Arial" w:hAnsi="Arial" w:cs="Arial"/>
                <w:vertAlign w:val="superscript"/>
              </w:rPr>
            </w:pPr>
            <w:r>
              <w:rPr>
                <w:rStyle w:val="Table-Medium"/>
                <w:b/>
              </w:rPr>
              <w:t>Max Rate of Change</w:t>
            </w:r>
            <w:r>
              <w:rPr>
                <w:rStyle w:val="Table-Medium"/>
                <w:b/>
                <w:vertAlign w:val="superscript"/>
              </w:rPr>
              <w:t>1</w:t>
            </w:r>
          </w:p>
        </w:tc>
      </w:tr>
      <w:tr w:rsidR="00AE6EC3" w:rsidRPr="00EF17ED" w14:paraId="2F3BC9B6" w14:textId="77777777" w:rsidTr="002C17FF">
        <w:tc>
          <w:tcPr>
            <w:tcW w:w="0" w:type="auto"/>
            <w:tcBorders>
              <w:top w:val="single" w:sz="4" w:space="0" w:color="auto"/>
            </w:tcBorders>
            <w:shd w:val="clear" w:color="auto" w:fill="D9D9D9" w:themeFill="background1" w:themeFillShade="D9"/>
            <w:tcMar>
              <w:top w:w="80" w:type="dxa"/>
              <w:left w:w="0" w:type="dxa"/>
              <w:bottom w:w="80" w:type="dxa"/>
              <w:right w:w="80" w:type="dxa"/>
            </w:tcMar>
            <w:vAlign w:val="center"/>
          </w:tcPr>
          <w:p w14:paraId="1972A532" w14:textId="77777777" w:rsidR="00AE6EC3" w:rsidRPr="00EF17ED" w:rsidRDefault="00AE6EC3" w:rsidP="002C17FF">
            <w:pPr>
              <w:pStyle w:val="TableData-LeftAlignInteriorTableChartGraph"/>
              <w:spacing w:line="264" w:lineRule="auto"/>
              <w:rPr>
                <w:rFonts w:ascii="Arial" w:hAnsi="Arial" w:cs="Arial"/>
              </w:rPr>
            </w:pPr>
            <w:r>
              <w:rPr>
                <w:rFonts w:ascii="Arial" w:hAnsi="Arial" w:cs="Arial"/>
              </w:rPr>
              <w:t>CO</w:t>
            </w:r>
          </w:p>
        </w:tc>
        <w:tc>
          <w:tcPr>
            <w:tcW w:w="0" w:type="auto"/>
            <w:tcBorders>
              <w:top w:val="single" w:sz="4" w:space="0" w:color="auto"/>
            </w:tcBorders>
            <w:shd w:val="clear" w:color="auto" w:fill="D9D9D9" w:themeFill="background1" w:themeFillShade="D9"/>
            <w:tcMar>
              <w:top w:w="80" w:type="dxa"/>
              <w:left w:w="80" w:type="dxa"/>
              <w:bottom w:w="80" w:type="dxa"/>
              <w:right w:w="80" w:type="dxa"/>
            </w:tcMar>
            <w:vAlign w:val="center"/>
          </w:tcPr>
          <w:p w14:paraId="5E3841A9" w14:textId="77777777" w:rsidR="00AE6EC3" w:rsidRPr="00EF17ED" w:rsidRDefault="00AE6EC3" w:rsidP="002C17FF">
            <w:pPr>
              <w:pStyle w:val="TableData-RightAlignInteriorTableChartGraph"/>
              <w:spacing w:line="264" w:lineRule="auto"/>
              <w:jc w:val="center"/>
              <w:rPr>
                <w:rFonts w:ascii="Arial" w:hAnsi="Arial" w:cs="Arial"/>
              </w:rPr>
            </w:pPr>
            <w:r>
              <w:rPr>
                <w:rFonts w:ascii="Arial" w:hAnsi="Arial" w:cs="Arial"/>
              </w:rPr>
              <w:t>10</w:t>
            </w:r>
          </w:p>
        </w:tc>
      </w:tr>
      <w:tr w:rsidR="00AE6EC3" w:rsidRPr="00EF17ED" w14:paraId="60B4DD5A" w14:textId="77777777" w:rsidTr="002C17FF">
        <w:tc>
          <w:tcPr>
            <w:tcW w:w="0" w:type="auto"/>
            <w:tcMar>
              <w:top w:w="80" w:type="dxa"/>
              <w:left w:w="0" w:type="dxa"/>
              <w:bottom w:w="80" w:type="dxa"/>
              <w:right w:w="80" w:type="dxa"/>
            </w:tcMar>
            <w:vAlign w:val="center"/>
          </w:tcPr>
          <w:p w14:paraId="23B61260" w14:textId="77777777" w:rsidR="00AE6EC3" w:rsidRPr="002F0AF1" w:rsidRDefault="00AE6EC3" w:rsidP="002C17FF">
            <w:pPr>
              <w:pStyle w:val="TableData-LeftAlignInteriorTableChartGraph"/>
              <w:spacing w:line="264" w:lineRule="auto"/>
              <w:rPr>
                <w:rFonts w:ascii="Arial" w:hAnsi="Arial" w:cs="Arial"/>
              </w:rPr>
            </w:pPr>
            <w:r>
              <w:rPr>
                <w:rFonts w:ascii="Arial" w:hAnsi="Arial" w:cs="Arial"/>
              </w:rPr>
              <w:t>PM</w:t>
            </w:r>
            <w:r>
              <w:rPr>
                <w:rFonts w:ascii="Arial" w:hAnsi="Arial" w:cs="Arial"/>
                <w:vertAlign w:val="subscript"/>
              </w:rPr>
              <w:t>2.5</w:t>
            </w:r>
          </w:p>
        </w:tc>
        <w:tc>
          <w:tcPr>
            <w:tcW w:w="0" w:type="auto"/>
            <w:tcMar>
              <w:top w:w="80" w:type="dxa"/>
              <w:left w:w="80" w:type="dxa"/>
              <w:bottom w:w="80" w:type="dxa"/>
              <w:right w:w="80" w:type="dxa"/>
            </w:tcMar>
            <w:vAlign w:val="center"/>
          </w:tcPr>
          <w:p w14:paraId="1AEBBCC0" w14:textId="77777777" w:rsidR="00AE6EC3" w:rsidRPr="00EF17ED" w:rsidRDefault="00AE6EC3" w:rsidP="002C17FF">
            <w:pPr>
              <w:pStyle w:val="TableData-RightAlignInteriorTableChartGraph"/>
              <w:spacing w:line="264" w:lineRule="auto"/>
              <w:jc w:val="center"/>
              <w:rPr>
                <w:rFonts w:ascii="Arial" w:hAnsi="Arial" w:cs="Arial"/>
              </w:rPr>
            </w:pPr>
            <w:r>
              <w:rPr>
                <w:rFonts w:ascii="Arial" w:hAnsi="Arial" w:cs="Arial"/>
              </w:rPr>
              <w:t>50</w:t>
            </w:r>
          </w:p>
        </w:tc>
      </w:tr>
      <w:tr w:rsidR="00AE6EC3" w:rsidRPr="00EF17ED" w14:paraId="60954706" w14:textId="77777777" w:rsidTr="002C17FF">
        <w:tc>
          <w:tcPr>
            <w:tcW w:w="0" w:type="auto"/>
            <w:shd w:val="clear" w:color="auto" w:fill="D9D9D9" w:themeFill="background1" w:themeFillShade="D9"/>
            <w:tcMar>
              <w:top w:w="80" w:type="dxa"/>
              <w:left w:w="0" w:type="dxa"/>
              <w:bottom w:w="80" w:type="dxa"/>
              <w:right w:w="80" w:type="dxa"/>
            </w:tcMar>
            <w:vAlign w:val="center"/>
          </w:tcPr>
          <w:p w14:paraId="159CAA1A" w14:textId="77777777" w:rsidR="00AE6EC3" w:rsidRPr="002F0AF1" w:rsidRDefault="00AE6EC3" w:rsidP="002C17FF">
            <w:pPr>
              <w:pStyle w:val="TableData-LeftAlignInteriorTableChartGraph"/>
              <w:spacing w:line="264" w:lineRule="auto"/>
              <w:rPr>
                <w:rFonts w:ascii="Arial" w:hAnsi="Arial" w:cs="Arial"/>
                <w:vertAlign w:val="subscript"/>
              </w:rPr>
            </w:pPr>
            <w:r>
              <w:rPr>
                <w:rFonts w:ascii="Arial" w:hAnsi="Arial" w:cs="Arial"/>
              </w:rPr>
              <w:t>NO</w:t>
            </w:r>
            <w:r>
              <w:rPr>
                <w:rFonts w:ascii="Arial" w:hAnsi="Arial" w:cs="Arial"/>
                <w:vertAlign w:val="subscript"/>
              </w:rPr>
              <w:t>2</w:t>
            </w:r>
          </w:p>
        </w:tc>
        <w:tc>
          <w:tcPr>
            <w:tcW w:w="0" w:type="auto"/>
            <w:shd w:val="clear" w:color="auto" w:fill="D9D9D9" w:themeFill="background1" w:themeFillShade="D9"/>
            <w:tcMar>
              <w:top w:w="80" w:type="dxa"/>
              <w:left w:w="80" w:type="dxa"/>
              <w:bottom w:w="80" w:type="dxa"/>
              <w:right w:w="80" w:type="dxa"/>
            </w:tcMar>
            <w:vAlign w:val="center"/>
          </w:tcPr>
          <w:p w14:paraId="36366A35" w14:textId="77777777" w:rsidR="00AE6EC3" w:rsidRPr="00EF17ED" w:rsidRDefault="00AE6EC3" w:rsidP="002C17FF">
            <w:pPr>
              <w:pStyle w:val="TableData-RightAlignInteriorTableChartGraph"/>
              <w:spacing w:line="264" w:lineRule="auto"/>
              <w:jc w:val="center"/>
              <w:rPr>
                <w:rFonts w:ascii="Arial" w:hAnsi="Arial" w:cs="Arial"/>
              </w:rPr>
            </w:pPr>
            <w:r>
              <w:rPr>
                <w:rFonts w:ascii="Arial" w:hAnsi="Arial" w:cs="Arial"/>
              </w:rPr>
              <w:t>0.030</w:t>
            </w:r>
          </w:p>
        </w:tc>
      </w:tr>
      <w:tr w:rsidR="00AE6EC3" w:rsidRPr="00EF17ED" w14:paraId="7CF51CA4" w14:textId="77777777" w:rsidTr="002C17FF">
        <w:tc>
          <w:tcPr>
            <w:tcW w:w="0" w:type="auto"/>
            <w:tcMar>
              <w:top w:w="80" w:type="dxa"/>
              <w:left w:w="0" w:type="dxa"/>
              <w:bottom w:w="80" w:type="dxa"/>
              <w:right w:w="80" w:type="dxa"/>
            </w:tcMar>
            <w:vAlign w:val="center"/>
          </w:tcPr>
          <w:p w14:paraId="59D28DDD" w14:textId="77777777" w:rsidR="00AE6EC3" w:rsidRPr="002F0AF1" w:rsidRDefault="00AE6EC3" w:rsidP="002C17FF">
            <w:pPr>
              <w:pStyle w:val="TableData-LeftAlignInteriorTableChartGraph"/>
              <w:spacing w:line="264" w:lineRule="auto"/>
              <w:rPr>
                <w:rFonts w:ascii="Arial" w:hAnsi="Arial" w:cs="Arial"/>
                <w:vertAlign w:val="subscript"/>
              </w:rPr>
            </w:pPr>
            <w:r>
              <w:rPr>
                <w:rFonts w:ascii="Arial" w:hAnsi="Arial" w:cs="Arial"/>
              </w:rPr>
              <w:t>O</w:t>
            </w:r>
            <w:r>
              <w:rPr>
                <w:rFonts w:ascii="Arial" w:hAnsi="Arial" w:cs="Arial"/>
                <w:vertAlign w:val="subscript"/>
              </w:rPr>
              <w:t>3</w:t>
            </w:r>
          </w:p>
        </w:tc>
        <w:tc>
          <w:tcPr>
            <w:tcW w:w="0" w:type="auto"/>
            <w:tcMar>
              <w:top w:w="80" w:type="dxa"/>
              <w:left w:w="80" w:type="dxa"/>
              <w:bottom w:w="80" w:type="dxa"/>
              <w:right w:w="80" w:type="dxa"/>
            </w:tcMar>
            <w:vAlign w:val="center"/>
          </w:tcPr>
          <w:p w14:paraId="7D994B92" w14:textId="77777777" w:rsidR="00AE6EC3" w:rsidRPr="00EF17ED" w:rsidRDefault="00AE6EC3" w:rsidP="002C17FF">
            <w:pPr>
              <w:pStyle w:val="TableData-RightAlignInteriorTableChartGraph"/>
              <w:spacing w:line="264" w:lineRule="auto"/>
              <w:jc w:val="center"/>
              <w:rPr>
                <w:rFonts w:ascii="Arial" w:hAnsi="Arial" w:cs="Arial"/>
              </w:rPr>
            </w:pPr>
            <w:r>
              <w:rPr>
                <w:rFonts w:ascii="Arial" w:hAnsi="Arial" w:cs="Arial"/>
              </w:rPr>
              <w:t>0.050</w:t>
            </w:r>
          </w:p>
        </w:tc>
      </w:tr>
      <w:tr w:rsidR="00AE6EC3" w:rsidRPr="00EF17ED" w14:paraId="133B8CD8" w14:textId="77777777" w:rsidTr="002C17FF">
        <w:tc>
          <w:tcPr>
            <w:tcW w:w="0" w:type="auto"/>
            <w:shd w:val="clear" w:color="auto" w:fill="D9D9D9" w:themeFill="background1" w:themeFillShade="D9"/>
            <w:tcMar>
              <w:top w:w="80" w:type="dxa"/>
              <w:left w:w="0" w:type="dxa"/>
              <w:bottom w:w="80" w:type="dxa"/>
              <w:right w:w="80" w:type="dxa"/>
            </w:tcMar>
            <w:vAlign w:val="center"/>
          </w:tcPr>
          <w:p w14:paraId="6258C27A" w14:textId="77777777" w:rsidR="00AE6EC3" w:rsidRDefault="00AE6EC3" w:rsidP="002C17FF">
            <w:pPr>
              <w:pStyle w:val="TableData-LeftAlignInteriorTableChartGraph"/>
              <w:spacing w:line="264" w:lineRule="auto"/>
              <w:rPr>
                <w:rFonts w:ascii="Arial" w:hAnsi="Arial" w:cs="Arial"/>
              </w:rPr>
            </w:pPr>
            <w:r>
              <w:rPr>
                <w:rFonts w:ascii="Arial" w:hAnsi="Arial" w:cs="Arial"/>
              </w:rPr>
              <w:t>SO</w:t>
            </w:r>
            <w:r>
              <w:rPr>
                <w:rFonts w:ascii="Arial" w:hAnsi="Arial" w:cs="Arial"/>
                <w:vertAlign w:val="subscript"/>
              </w:rPr>
              <w:t>2</w:t>
            </w:r>
          </w:p>
        </w:tc>
        <w:tc>
          <w:tcPr>
            <w:tcW w:w="0" w:type="auto"/>
            <w:shd w:val="clear" w:color="auto" w:fill="D9D9D9" w:themeFill="background1" w:themeFillShade="D9"/>
            <w:tcMar>
              <w:top w:w="80" w:type="dxa"/>
              <w:left w:w="80" w:type="dxa"/>
              <w:bottom w:w="80" w:type="dxa"/>
              <w:right w:w="80" w:type="dxa"/>
            </w:tcMar>
            <w:vAlign w:val="center"/>
          </w:tcPr>
          <w:p w14:paraId="0229A8C0" w14:textId="77777777" w:rsidR="00AE6EC3" w:rsidRPr="00EF17ED" w:rsidRDefault="00AE6EC3" w:rsidP="002C17FF">
            <w:pPr>
              <w:pStyle w:val="TableData-RightAlignInteriorTableChartGraph"/>
              <w:spacing w:line="264" w:lineRule="auto"/>
              <w:jc w:val="center"/>
              <w:rPr>
                <w:rFonts w:ascii="Arial" w:hAnsi="Arial" w:cs="Arial"/>
              </w:rPr>
            </w:pPr>
            <w:r>
              <w:rPr>
                <w:rFonts w:ascii="Arial" w:hAnsi="Arial" w:cs="Arial"/>
              </w:rPr>
              <w:t>0.040</w:t>
            </w:r>
          </w:p>
        </w:tc>
      </w:tr>
    </w:tbl>
    <w:p w14:paraId="75F1BB3D" w14:textId="098649FC" w:rsidR="0088302E" w:rsidRDefault="00AE6EC3" w:rsidP="00D065E5">
      <w:pPr>
        <w:pStyle w:val="Source"/>
      </w:pPr>
      <w:r>
        <w:rPr>
          <w:vertAlign w:val="superscript"/>
        </w:rPr>
        <w:t xml:space="preserve">1 </w:t>
      </w:r>
      <w:r w:rsidR="0085203E">
        <w:t xml:space="preserve">These values were adopted from B.C. </w:t>
      </w:r>
      <w:r w:rsidR="0085203E" w:rsidRPr="0085203E">
        <w:t>Ministry of Environment and Climate Change Strategy</w:t>
      </w:r>
      <w:r w:rsidR="0085203E">
        <w:t>’s data validation process</w:t>
      </w:r>
      <w:r w:rsidR="00FC1EEF">
        <w:t xml:space="preserve"> for air monitoring data</w:t>
      </w:r>
      <w:r w:rsidR="0085203E">
        <w:t xml:space="preserve"> (</w:t>
      </w:r>
      <w:hyperlink r:id="rId18" w:history="1">
        <w:r w:rsidR="0085203E" w:rsidRPr="006F30B1">
          <w:rPr>
            <w:rStyle w:val="Hyperlink"/>
          </w:rPr>
          <w:t>ftp://ftp.env.gov.bc.ca/pub/outgoing/AIR/Validation/</w:t>
        </w:r>
      </w:hyperlink>
      <w:r w:rsidR="0085203E">
        <w:t>) and may change as additional information becomes available.</w:t>
      </w:r>
    </w:p>
    <w:p w14:paraId="0929AB31" w14:textId="5ED538BA" w:rsidR="00A22DB0" w:rsidRDefault="005161C2" w:rsidP="00E54FC6">
      <w:pPr>
        <w:pStyle w:val="Heading2"/>
      </w:pPr>
      <w:r>
        <w:t>2.</w:t>
      </w:r>
      <w:r w:rsidR="001B4E65">
        <w:t>2</w:t>
      </w:r>
      <w:r>
        <w:t xml:space="preserve"> </w:t>
      </w:r>
      <w:r w:rsidR="00B87578">
        <w:t>Sticking Values Checks</w:t>
      </w:r>
    </w:p>
    <w:p w14:paraId="041046F1" w14:textId="24CE4E3D" w:rsidR="006A5C6A" w:rsidRPr="005C1410" w:rsidRDefault="006A5C6A" w:rsidP="002F5C6E">
      <w:r>
        <w:t>The sticking values checks look for instances where the same value is repeating multiple hours in a row (in the case of non-zero values) or occurs more often in a month than expected (in the case of zeros). There are two checks in this category: (1) Sticking Parameter; (2) Percent Zero.</w:t>
      </w:r>
    </w:p>
    <w:p w14:paraId="1E9939DD" w14:textId="2E4F4199" w:rsidR="00B87578" w:rsidRDefault="005161C2" w:rsidP="00B87578">
      <w:pPr>
        <w:pStyle w:val="Heading3"/>
      </w:pPr>
      <w:r>
        <w:t>2.</w:t>
      </w:r>
      <w:r w:rsidR="001B4E65">
        <w:t>2</w:t>
      </w:r>
      <w:r>
        <w:t xml:space="preserve">.1 </w:t>
      </w:r>
      <w:r w:rsidR="00B87578">
        <w:t>Sticking Parameter</w:t>
      </w:r>
    </w:p>
    <w:p w14:paraId="3A4F3E48" w14:textId="56772F09" w:rsidR="00980E16" w:rsidRDefault="00537645" w:rsidP="00980E16">
      <w:pPr>
        <w:pStyle w:val="Bullets1"/>
        <w:spacing w:after="0"/>
      </w:pPr>
      <w:r>
        <w:t>This check is applied</w:t>
      </w:r>
      <w:r w:rsidR="004F230A">
        <w:t xml:space="preserve"> to all parameters</w:t>
      </w:r>
      <w:r w:rsidR="00111FC1">
        <w:t xml:space="preserve"> and examines</w:t>
      </w:r>
      <w:r w:rsidR="00C20405">
        <w:t xml:space="preserve"> the reported concentrations </w:t>
      </w:r>
      <w:r w:rsidR="00111FC1">
        <w:t>for extended periods with</w:t>
      </w:r>
      <w:r w:rsidR="00C20405">
        <w:t xml:space="preserve"> the same non-zero value</w:t>
      </w:r>
      <w:r w:rsidR="00B4225E">
        <w:t>.</w:t>
      </w:r>
    </w:p>
    <w:p w14:paraId="5C1C0753" w14:textId="0807129D" w:rsidR="00980E16" w:rsidRDefault="00DA55CD" w:rsidP="00980E16">
      <w:pPr>
        <w:pStyle w:val="Bullets1"/>
        <w:spacing w:after="0"/>
      </w:pPr>
      <w:r>
        <w:t>S</w:t>
      </w:r>
      <w:r w:rsidR="00980E16">
        <w:t>ample periods with the same non-zero value for 12 or more consecutive hours</w:t>
      </w:r>
      <w:r>
        <w:t xml:space="preserve"> are tagged for review</w:t>
      </w:r>
      <w:r w:rsidR="00980E16">
        <w:t>.</w:t>
      </w:r>
    </w:p>
    <w:p w14:paraId="04390539" w14:textId="4BF4F1A7" w:rsidR="00654485" w:rsidRDefault="00654485" w:rsidP="008A4C64">
      <w:pPr>
        <w:pStyle w:val="Bullets1"/>
        <w:spacing w:after="0"/>
      </w:pPr>
      <w:r>
        <w:t>Notes from the pilot year:</w:t>
      </w:r>
    </w:p>
    <w:p w14:paraId="3EB24D29" w14:textId="39625122" w:rsidR="00654485" w:rsidRDefault="00654485" w:rsidP="007F0D7C">
      <w:pPr>
        <w:pStyle w:val="Bullets2"/>
      </w:pPr>
      <w:r>
        <w:t xml:space="preserve">This check </w:t>
      </w:r>
      <w:r w:rsidR="00D97D1E">
        <w:t xml:space="preserve">identified </w:t>
      </w:r>
      <w:r>
        <w:t>numerous sample periods for review</w:t>
      </w:r>
      <w:r w:rsidR="0032468B">
        <w:t xml:space="preserve">. </w:t>
      </w:r>
      <w:r w:rsidR="00B4225E">
        <w:t>In most cases, t</w:t>
      </w:r>
      <w:r w:rsidR="00D97D1E">
        <w:t xml:space="preserve">he identified periods </w:t>
      </w:r>
      <w:r w:rsidR="000901A3">
        <w:t xml:space="preserve">had the same non-zero value due to rounding </w:t>
      </w:r>
      <w:r w:rsidR="00D97D1E">
        <w:t>(for example NO</w:t>
      </w:r>
      <w:r w:rsidR="00D97D1E">
        <w:rPr>
          <w:vertAlign w:val="subscript"/>
        </w:rPr>
        <w:t>2</w:t>
      </w:r>
      <w:r w:rsidR="00D97D1E">
        <w:t xml:space="preserve"> concentrations reported at </w:t>
      </w:r>
      <w:r w:rsidR="000C2D64">
        <w:t xml:space="preserve">1 ppb </w:t>
      </w:r>
      <w:r w:rsidR="00D97D1E">
        <w:t>resolution</w:t>
      </w:r>
      <w:r w:rsidR="000C2D64">
        <w:t>)</w:t>
      </w:r>
      <w:r w:rsidR="0032468B">
        <w:t>.</w:t>
      </w:r>
    </w:p>
    <w:p w14:paraId="7BECD12C" w14:textId="557EF7F3" w:rsidR="000901A3" w:rsidRDefault="000901A3" w:rsidP="007F0D7C">
      <w:pPr>
        <w:pStyle w:val="Bullets2"/>
      </w:pPr>
      <w:r>
        <w:t xml:space="preserve">The next time the annual data review is applied, this check will </w:t>
      </w:r>
      <w:r w:rsidR="000C2D64">
        <w:t xml:space="preserve">likely </w:t>
      </w:r>
      <w:r>
        <w:t>be modified.</w:t>
      </w:r>
    </w:p>
    <w:p w14:paraId="72B8B13C" w14:textId="2519B231" w:rsidR="006D539E" w:rsidRDefault="005161C2" w:rsidP="006D539E">
      <w:pPr>
        <w:pStyle w:val="Heading3"/>
      </w:pPr>
      <w:r>
        <w:t>2.</w:t>
      </w:r>
      <w:r w:rsidR="001B4E65">
        <w:t>2</w:t>
      </w:r>
      <w:r>
        <w:t xml:space="preserve">.2 </w:t>
      </w:r>
      <w:r w:rsidR="006D539E">
        <w:t>Percent Zero</w:t>
      </w:r>
    </w:p>
    <w:p w14:paraId="1F32F523" w14:textId="7FB1514B" w:rsidR="00121A82" w:rsidRDefault="00537645" w:rsidP="00537645">
      <w:pPr>
        <w:pStyle w:val="Bullets1"/>
      </w:pPr>
      <w:r>
        <w:t xml:space="preserve">This check </w:t>
      </w:r>
      <w:r w:rsidR="00C20405">
        <w:t xml:space="preserve">examines the reported concentrations for extended periods of below detection (value of zero) and </w:t>
      </w:r>
      <w:r>
        <w:t>is applied to</w:t>
      </w:r>
      <w:r w:rsidR="000901A3">
        <w:t xml:space="preserve"> all parameters except H</w:t>
      </w:r>
      <w:r w:rsidR="000901A3">
        <w:rPr>
          <w:vertAlign w:val="subscript"/>
        </w:rPr>
        <w:t>2</w:t>
      </w:r>
      <w:r w:rsidR="000901A3">
        <w:t>S, TRS, SO</w:t>
      </w:r>
      <w:r w:rsidR="000901A3">
        <w:rPr>
          <w:vertAlign w:val="subscript"/>
        </w:rPr>
        <w:t>2</w:t>
      </w:r>
      <w:r w:rsidR="000901A3">
        <w:t xml:space="preserve">, </w:t>
      </w:r>
      <w:r w:rsidR="00B4225E">
        <w:t xml:space="preserve">and </w:t>
      </w:r>
      <w:r w:rsidR="000901A3">
        <w:t xml:space="preserve">NMHC, </w:t>
      </w:r>
      <w:r w:rsidR="00D97D1E">
        <w:t xml:space="preserve">because these </w:t>
      </w:r>
      <w:r w:rsidR="00121A82">
        <w:t>parameters</w:t>
      </w:r>
      <w:r w:rsidR="00D97D1E">
        <w:t xml:space="preserve"> are know</w:t>
      </w:r>
      <w:r w:rsidR="00C20405">
        <w:t xml:space="preserve">n to be below </w:t>
      </w:r>
      <w:r w:rsidR="001F2BC3">
        <w:t xml:space="preserve">the </w:t>
      </w:r>
      <w:r w:rsidR="00C20405">
        <w:t xml:space="preserve">analyzer detection for extended </w:t>
      </w:r>
      <w:proofErr w:type="gramStart"/>
      <w:r w:rsidR="00C20405">
        <w:t>period of time</w:t>
      </w:r>
      <w:proofErr w:type="gramEnd"/>
      <w:r w:rsidR="00D97D1E">
        <w:t xml:space="preserve">. The check is also not applied to </w:t>
      </w:r>
      <w:r w:rsidR="000901A3">
        <w:t>temperature</w:t>
      </w:r>
      <w:r w:rsidR="00B4225E">
        <w:t>, relative humidity,</w:t>
      </w:r>
      <w:r w:rsidR="000901A3">
        <w:t xml:space="preserve"> and wind direction.</w:t>
      </w:r>
    </w:p>
    <w:p w14:paraId="18769346" w14:textId="52979F28" w:rsidR="004E6086" w:rsidRDefault="002D69F1" w:rsidP="00F36F58">
      <w:pPr>
        <w:pStyle w:val="Bullets1"/>
      </w:pPr>
      <w:r>
        <w:t xml:space="preserve">This check </w:t>
      </w:r>
      <w:r w:rsidR="00980E16">
        <w:t xml:space="preserve">tags </w:t>
      </w:r>
      <w:r>
        <w:t xml:space="preserve">for review </w:t>
      </w:r>
      <w:r w:rsidR="00121A82">
        <w:t>the</w:t>
      </w:r>
      <w:r>
        <w:t xml:space="preserve"> sample </w:t>
      </w:r>
      <w:r w:rsidR="001F2BC3">
        <w:t>months</w:t>
      </w:r>
      <w:r>
        <w:t xml:space="preserve"> where the </w:t>
      </w:r>
      <w:r w:rsidR="004E6086">
        <w:t xml:space="preserve">percentage </w:t>
      </w:r>
      <w:r>
        <w:t xml:space="preserve">of </w:t>
      </w:r>
      <w:r w:rsidR="004E6086">
        <w:t xml:space="preserve">zero values </w:t>
      </w:r>
      <w:r w:rsidR="00121A82">
        <w:t>is</w:t>
      </w:r>
      <w:r>
        <w:t xml:space="preserve"> </w:t>
      </w:r>
      <w:r w:rsidR="004E6086">
        <w:t>greater than 50%</w:t>
      </w:r>
      <w:r w:rsidR="000901A3">
        <w:t>.</w:t>
      </w:r>
    </w:p>
    <w:p w14:paraId="51876381" w14:textId="56CE25F7" w:rsidR="004E6086" w:rsidRDefault="005161C2" w:rsidP="00E54FC6">
      <w:pPr>
        <w:pStyle w:val="Heading2"/>
      </w:pPr>
      <w:r>
        <w:t>2.</w:t>
      </w:r>
      <w:r w:rsidR="001B4E65">
        <w:t>3</w:t>
      </w:r>
      <w:r>
        <w:t xml:space="preserve"> </w:t>
      </w:r>
      <w:r w:rsidR="004E6086">
        <w:t>Related Parameter Checks</w:t>
      </w:r>
    </w:p>
    <w:p w14:paraId="5D2355EF" w14:textId="6691257C" w:rsidR="006A5C6A" w:rsidRPr="005C1410" w:rsidRDefault="006A5C6A" w:rsidP="002F5C6E">
      <w:r>
        <w:t>The related parameter checks are applied for both NO</w:t>
      </w:r>
      <w:r>
        <w:rPr>
          <w:vertAlign w:val="subscript"/>
        </w:rPr>
        <w:t>x</w:t>
      </w:r>
      <w:r>
        <w:t xml:space="preserve"> and THC and check whether the sum of the related parameters (NO and NO</w:t>
      </w:r>
      <w:r>
        <w:rPr>
          <w:vertAlign w:val="subscript"/>
        </w:rPr>
        <w:t>2</w:t>
      </w:r>
      <w:r>
        <w:t xml:space="preserve"> for NO</w:t>
      </w:r>
      <w:r>
        <w:rPr>
          <w:vertAlign w:val="subscript"/>
        </w:rPr>
        <w:t>x</w:t>
      </w:r>
      <w:r>
        <w:t>; NMHC and CH</w:t>
      </w:r>
      <w:r>
        <w:rPr>
          <w:vertAlign w:val="subscript"/>
        </w:rPr>
        <w:t>4</w:t>
      </w:r>
      <w:r>
        <w:t xml:space="preserve"> for THC) is equal to the submitted NO</w:t>
      </w:r>
      <w:r>
        <w:rPr>
          <w:vertAlign w:val="subscript"/>
        </w:rPr>
        <w:t>x</w:t>
      </w:r>
      <w:r>
        <w:t xml:space="preserve"> and THC values.</w:t>
      </w:r>
    </w:p>
    <w:p w14:paraId="52011EA9" w14:textId="5B47BA06" w:rsidR="004E6086" w:rsidRDefault="005161C2" w:rsidP="004E6086">
      <w:pPr>
        <w:pStyle w:val="Heading3"/>
      </w:pPr>
      <w:r>
        <w:t>2.</w:t>
      </w:r>
      <w:r w:rsidR="001B4E65">
        <w:t>3</w:t>
      </w:r>
      <w:r>
        <w:t xml:space="preserve">.1 </w:t>
      </w:r>
      <w:r w:rsidR="004E6086">
        <w:t>NO</w:t>
      </w:r>
      <w:r w:rsidR="004E6086">
        <w:rPr>
          <w:vertAlign w:val="subscript"/>
        </w:rPr>
        <w:t>x</w:t>
      </w:r>
    </w:p>
    <w:p w14:paraId="757CF6F0" w14:textId="39F0017E" w:rsidR="00763E38" w:rsidRDefault="001F2BC3" w:rsidP="0032468B">
      <w:pPr>
        <w:pStyle w:val="Bullets1"/>
      </w:pPr>
      <w:r>
        <w:t xml:space="preserve">For each hour, a </w:t>
      </w:r>
      <w:r w:rsidR="00610787">
        <w:t>NO</w:t>
      </w:r>
      <w:r w:rsidR="00610787" w:rsidRPr="00610787">
        <w:rPr>
          <w:vertAlign w:val="subscript"/>
        </w:rPr>
        <w:t>x</w:t>
      </w:r>
      <w:r w:rsidR="00610787">
        <w:t xml:space="preserve"> value </w:t>
      </w:r>
      <w:r>
        <w:t xml:space="preserve">calculated </w:t>
      </w:r>
      <w:r w:rsidR="00610787">
        <w:t xml:space="preserve">from the </w:t>
      </w:r>
      <w:r>
        <w:t xml:space="preserve">reported </w:t>
      </w:r>
      <w:r w:rsidR="00610787">
        <w:t>NO and NO</w:t>
      </w:r>
      <w:r w:rsidR="00610787">
        <w:rPr>
          <w:vertAlign w:val="subscript"/>
        </w:rPr>
        <w:t>2</w:t>
      </w:r>
      <w:r w:rsidR="00610787">
        <w:t xml:space="preserve"> values</w:t>
      </w:r>
      <w:r w:rsidR="00A52B9F">
        <w:t xml:space="preserve"> </w:t>
      </w:r>
      <w:r>
        <w:t>are compared to the reported NO</w:t>
      </w:r>
      <w:r>
        <w:rPr>
          <w:vertAlign w:val="subscript"/>
        </w:rPr>
        <w:t xml:space="preserve">x </w:t>
      </w:r>
      <w:r>
        <w:t>value.  Differences that are greater tha</w:t>
      </w:r>
      <w:r w:rsidR="0032468B">
        <w:t>n 1 ppb are tagged for review.</w:t>
      </w:r>
    </w:p>
    <w:p w14:paraId="1A9B336D" w14:textId="00078675" w:rsidR="00710AE8" w:rsidRPr="0032468B" w:rsidRDefault="00710AE8" w:rsidP="00405072">
      <w:pPr>
        <w:spacing w:after="90"/>
      </w:pPr>
      <m:oMathPara>
        <m:oMath>
          <m:r>
            <w:rPr>
              <w:rFonts w:ascii="Cambria Math" w:hAnsi="Cambria Math"/>
            </w:rPr>
            <m:t>NO</m:t>
          </m:r>
          <m:r>
            <m:rPr>
              <m:sty m:val="p"/>
            </m:rPr>
            <w:rPr>
              <w:rFonts w:ascii="Cambria Math" w:hAnsi="Cambria Math"/>
            </w:rPr>
            <m:t>+</m:t>
          </m:r>
          <m:sSub>
            <m:sSubPr>
              <m:ctrlPr>
                <w:rPr>
                  <w:rFonts w:ascii="Cambria Math" w:hAnsi="Cambria Math"/>
                </w:rPr>
              </m:ctrlPr>
            </m:sSubPr>
            <m:e>
              <m:r>
                <w:rPr>
                  <w:rFonts w:ascii="Cambria Math" w:hAnsi="Cambria Math"/>
                </w:rPr>
                <m:t>NO</m:t>
              </m:r>
            </m:e>
            <m:sub>
              <m:r>
                <m:rPr>
                  <m:sty m:val="p"/>
                </m:rPr>
                <w:rPr>
                  <w:rFonts w:ascii="Cambria Math" w:hAnsi="Cambria Math"/>
                </w:rPr>
                <m:t>2</m:t>
              </m:r>
            </m:sub>
          </m:sSub>
          <m:r>
            <m:rPr>
              <m:sty m:val="p"/>
            </m:rPr>
            <w:rPr>
              <w:rFonts w:ascii="Cambria Math" w:hAnsi="Cambria Math"/>
            </w:rPr>
            <m:t>=</m:t>
          </m:r>
          <m:r>
            <w:rPr>
              <w:rFonts w:ascii="Cambria Math" w:hAnsi="Cambria Math"/>
            </w:rPr>
            <m:t>calculated</m:t>
          </m:r>
          <m:sSub>
            <m:sSubPr>
              <m:ctrlPr>
                <w:rPr>
                  <w:rFonts w:ascii="Cambria Math" w:hAnsi="Cambria Math"/>
                </w:rPr>
              </m:ctrlPr>
            </m:sSubPr>
            <m:e>
              <m:r>
                <w:rPr>
                  <w:rFonts w:ascii="Cambria Math" w:hAnsi="Cambria Math"/>
                </w:rPr>
                <m:t>NO</m:t>
              </m:r>
            </m:e>
            <m:sub>
              <m:r>
                <w:rPr>
                  <w:rFonts w:ascii="Cambria Math" w:hAnsi="Cambria Math"/>
                </w:rPr>
                <m:t>x</m:t>
              </m:r>
            </m:sub>
          </m:sSub>
        </m:oMath>
      </m:oMathPara>
    </w:p>
    <w:p w14:paraId="0AE06DF8" w14:textId="4A78E2A2" w:rsidR="00A52B9F" w:rsidRPr="00A52B9F" w:rsidRDefault="00444044" w:rsidP="00405072">
      <w:pPr>
        <w:spacing w:after="90"/>
        <w:rPr>
          <w:rFonts w:eastAsiaTheme="minorEastAsia"/>
        </w:rPr>
      </w:pPr>
      <m:oMathPara>
        <m:oMath>
          <m:sSub>
            <m:sSubPr>
              <m:ctrlPr>
                <w:rPr>
                  <w:rFonts w:ascii="Cambria Math" w:hAnsi="Cambria Math"/>
                </w:rPr>
              </m:ctrlPr>
            </m:sSubPr>
            <m:e>
              <m:r>
                <w:rPr>
                  <w:rFonts w:ascii="Cambria Math" w:hAnsi="Cambria Math"/>
                </w:rPr>
                <m:t>NO</m:t>
              </m:r>
            </m:e>
            <m:sub>
              <m:r>
                <w:rPr>
                  <w:rFonts w:ascii="Cambria Math" w:hAnsi="Cambria Math"/>
                </w:rPr>
                <m:t>x</m:t>
              </m:r>
            </m:sub>
          </m:sSub>
          <m:r>
            <m:rPr>
              <m:sty m:val="p"/>
            </m:rPr>
            <w:rPr>
              <w:rFonts w:ascii="Cambria Math" w:hAnsi="Cambria Math"/>
            </w:rPr>
            <m:t>-</m:t>
          </m:r>
          <m:r>
            <w:rPr>
              <w:rFonts w:ascii="Cambria Math" w:hAnsi="Cambria Math"/>
            </w:rPr>
            <m:t>calculated</m:t>
          </m:r>
          <m:sSub>
            <m:sSubPr>
              <m:ctrlPr>
                <w:rPr>
                  <w:rFonts w:ascii="Cambria Math" w:hAnsi="Cambria Math"/>
                </w:rPr>
              </m:ctrlPr>
            </m:sSubPr>
            <m:e>
              <m:r>
                <w:rPr>
                  <w:rFonts w:ascii="Cambria Math" w:hAnsi="Cambria Math"/>
                </w:rPr>
                <m:t>NO</m:t>
              </m:r>
            </m:e>
            <m:sub>
              <m:r>
                <w:rPr>
                  <w:rFonts w:ascii="Cambria Math" w:hAnsi="Cambria Math"/>
                </w:rPr>
                <m:t>x</m:t>
              </m:r>
            </m:sub>
          </m:sSub>
          <m:r>
            <m:rPr>
              <m:sty m:val="p"/>
            </m:rPr>
            <w:rPr>
              <w:rFonts w:ascii="Cambria Math" w:hAnsi="Cambria Math"/>
            </w:rPr>
            <m:t xml:space="preserve">&gt;±1 </m:t>
          </m:r>
          <m:r>
            <w:rPr>
              <w:rFonts w:ascii="Cambria Math" w:hAnsi="Cambria Math"/>
            </w:rPr>
            <m:t>ppb</m:t>
          </m:r>
        </m:oMath>
      </m:oMathPara>
    </w:p>
    <w:p w14:paraId="5E62D371" w14:textId="2D35E9B5" w:rsidR="000901A3" w:rsidRDefault="000901A3" w:rsidP="008A4C64">
      <w:pPr>
        <w:pStyle w:val="Bullets1"/>
        <w:spacing w:after="0"/>
      </w:pPr>
      <w:r>
        <w:t>Notes from the pilot year:</w:t>
      </w:r>
    </w:p>
    <w:p w14:paraId="06F687A9" w14:textId="77777777" w:rsidR="0032468B" w:rsidRDefault="000901A3" w:rsidP="0032468B">
      <w:pPr>
        <w:pStyle w:val="Bullets2"/>
      </w:pPr>
      <w:r>
        <w:lastRenderedPageBreak/>
        <w:t xml:space="preserve">This check also identified hours for which one or two of the related parameters have no reported concentrations </w:t>
      </w:r>
      <w:r w:rsidR="00710AE8">
        <w:t>(due to calibration</w:t>
      </w:r>
      <w:proofErr w:type="gramStart"/>
      <w:r w:rsidR="00710AE8">
        <w:t>)</w:t>
      </w:r>
      <w:proofErr w:type="gramEnd"/>
      <w:r w:rsidR="00710AE8">
        <w:t xml:space="preserve"> </w:t>
      </w:r>
      <w:r>
        <w:t xml:space="preserve">but the other </w:t>
      </w:r>
      <w:r w:rsidR="00710AE8">
        <w:t xml:space="preserve">related </w:t>
      </w:r>
      <w:r>
        <w:t xml:space="preserve">parameter(s) do have a value. </w:t>
      </w:r>
      <w:r w:rsidR="00710AE8">
        <w:t xml:space="preserve">Such incidents were tagged for further investigation as all related parameters are expected to be similarly affected by calibration or instrument maintenance.  </w:t>
      </w:r>
    </w:p>
    <w:p w14:paraId="7177684D" w14:textId="4BBC6B43" w:rsidR="00A80AE0" w:rsidRDefault="005161C2" w:rsidP="0032468B">
      <w:pPr>
        <w:pStyle w:val="Heading3"/>
      </w:pPr>
      <w:r>
        <w:t>2.</w:t>
      </w:r>
      <w:r w:rsidR="001B4E65">
        <w:t>3</w:t>
      </w:r>
      <w:r>
        <w:t xml:space="preserve">.2 </w:t>
      </w:r>
      <w:r w:rsidR="00A80AE0">
        <w:t>THC</w:t>
      </w:r>
    </w:p>
    <w:p w14:paraId="4EC72D90" w14:textId="32F6D49F" w:rsidR="0032468B" w:rsidRDefault="0032468B" w:rsidP="00A80AE0">
      <w:pPr>
        <w:pStyle w:val="Bullets1"/>
      </w:pPr>
      <w:r>
        <w:t>For each hour, a THC value calculated from the reported NMHC and CH</w:t>
      </w:r>
      <w:r>
        <w:rPr>
          <w:vertAlign w:val="subscript"/>
        </w:rPr>
        <w:t>4</w:t>
      </w:r>
      <w:r>
        <w:t xml:space="preserve"> values are compared to the reported THC value. Differences that are greater than 0.1 ppm are tagged for review.</w:t>
      </w:r>
    </w:p>
    <w:p w14:paraId="217C274C" w14:textId="5CC213EF" w:rsidR="0032468B" w:rsidRDefault="0032468B" w:rsidP="00405072">
      <w:pPr>
        <w:spacing w:after="90"/>
      </w:pPr>
      <m:oMathPara>
        <m:oMath>
          <m:r>
            <w:rPr>
              <w:rFonts w:ascii="Cambria Math" w:hAnsi="Cambria Math"/>
            </w:rPr>
            <m:t>NMHC</m:t>
          </m:r>
          <m:r>
            <m:rPr>
              <m:sty m:val="p"/>
            </m:rPr>
            <w:rPr>
              <w:rFonts w:ascii="Cambria Math" w:hAnsi="Cambria Math"/>
            </w:rPr>
            <m:t>+</m:t>
          </m:r>
          <m:sSub>
            <m:sSubPr>
              <m:ctrlPr>
                <w:rPr>
                  <w:rFonts w:ascii="Cambria Math" w:hAnsi="Cambria Math"/>
                </w:rPr>
              </m:ctrlPr>
            </m:sSubPr>
            <m:e>
              <m:r>
                <w:rPr>
                  <w:rFonts w:ascii="Cambria Math" w:hAnsi="Cambria Math"/>
                </w:rPr>
                <m:t>CH</m:t>
              </m:r>
            </m:e>
            <m:sub>
              <m:r>
                <m:rPr>
                  <m:sty m:val="p"/>
                </m:rPr>
                <w:rPr>
                  <w:rFonts w:ascii="Cambria Math" w:hAnsi="Cambria Math"/>
                </w:rPr>
                <m:t>4</m:t>
              </m:r>
            </m:sub>
          </m:sSub>
          <m:r>
            <m:rPr>
              <m:sty m:val="p"/>
            </m:rPr>
            <w:rPr>
              <w:rFonts w:ascii="Cambria Math" w:hAnsi="Cambria Math"/>
            </w:rPr>
            <m:t>=</m:t>
          </m:r>
          <m:r>
            <w:rPr>
              <w:rFonts w:ascii="Cambria Math" w:hAnsi="Cambria Math"/>
            </w:rPr>
            <m:t>calculatedTHC</m:t>
          </m:r>
        </m:oMath>
      </m:oMathPara>
    </w:p>
    <w:p w14:paraId="2F0DDBE4" w14:textId="6AEE9E69" w:rsidR="0032468B" w:rsidRPr="0032468B" w:rsidRDefault="0032468B" w:rsidP="00405072">
      <w:pPr>
        <w:spacing w:after="90"/>
        <w:rPr>
          <w:rFonts w:eastAsiaTheme="minorEastAsia"/>
        </w:rPr>
      </w:pPr>
      <m:oMathPara>
        <m:oMath>
          <m:r>
            <w:rPr>
              <w:rFonts w:ascii="Cambria Math" w:hAnsi="Cambria Math"/>
            </w:rPr>
            <m:t>THC</m:t>
          </m:r>
          <m:r>
            <m:rPr>
              <m:sty m:val="p"/>
            </m:rPr>
            <w:rPr>
              <w:rFonts w:ascii="Cambria Math" w:hAnsi="Cambria Math"/>
            </w:rPr>
            <m:t>-</m:t>
          </m:r>
          <m:r>
            <w:rPr>
              <w:rFonts w:ascii="Cambria Math" w:hAnsi="Cambria Math"/>
            </w:rPr>
            <m:t>calculatedTHC</m:t>
          </m:r>
          <m:r>
            <m:rPr>
              <m:sty m:val="p"/>
            </m:rPr>
            <w:rPr>
              <w:rFonts w:ascii="Cambria Math" w:hAnsi="Cambria Math"/>
            </w:rPr>
            <m:t xml:space="preserve">&gt;±0.1 </m:t>
          </m:r>
          <m:r>
            <w:rPr>
              <w:rFonts w:ascii="Cambria Math" w:hAnsi="Cambria Math"/>
            </w:rPr>
            <m:t>ppm</m:t>
          </m:r>
        </m:oMath>
      </m:oMathPara>
    </w:p>
    <w:p w14:paraId="15528C2C" w14:textId="3556241F" w:rsidR="006A5C6A" w:rsidRDefault="006A5C6A" w:rsidP="008A4C64">
      <w:pPr>
        <w:pStyle w:val="Bullets1"/>
        <w:spacing w:after="0"/>
      </w:pPr>
      <w:r>
        <w:t>Notes from the pilot year of the annual review:</w:t>
      </w:r>
    </w:p>
    <w:p w14:paraId="44B49A12" w14:textId="662CD750" w:rsidR="006A5C6A" w:rsidRPr="002F5C6E" w:rsidRDefault="006A5C6A" w:rsidP="007F0D7C">
      <w:pPr>
        <w:pStyle w:val="Bullets2"/>
      </w:pPr>
      <w:r>
        <w:t>As with the NO</w:t>
      </w:r>
      <w:r>
        <w:rPr>
          <w:vertAlign w:val="subscript"/>
        </w:rPr>
        <w:t>x</w:t>
      </w:r>
      <w:r>
        <w:t xml:space="preserve"> check </w:t>
      </w:r>
      <w:r w:rsidR="001B4E65">
        <w:t>(Section 2.3.1)</w:t>
      </w:r>
      <w:r>
        <w:t xml:space="preserve">, this check also identified hours for which one or two of the related parameters have no reported </w:t>
      </w:r>
      <w:r w:rsidR="00444044">
        <w:t>concentration,</w:t>
      </w:r>
      <w:r>
        <w:t xml:space="preserve"> but the other parameter(s) do have a </w:t>
      </w:r>
      <w:proofErr w:type="gramStart"/>
      <w:r>
        <w:t>value</w:t>
      </w:r>
      <w:r w:rsidR="0032468B">
        <w:t>, and</w:t>
      </w:r>
      <w:proofErr w:type="gramEnd"/>
      <w:r w:rsidR="0032468B">
        <w:t xml:space="preserve"> were tagged for further investigation</w:t>
      </w:r>
      <w:r>
        <w:t>.</w:t>
      </w:r>
    </w:p>
    <w:p w14:paraId="344D5FE8" w14:textId="7F38AC25" w:rsidR="004E6086" w:rsidRDefault="001B4E65" w:rsidP="00E54FC6">
      <w:pPr>
        <w:pStyle w:val="Heading2"/>
      </w:pPr>
      <w:r>
        <w:t>2.4</w:t>
      </w:r>
      <w:r w:rsidR="005161C2">
        <w:t xml:space="preserve"> </w:t>
      </w:r>
      <w:r w:rsidR="00A80AE0">
        <w:t>Shifts in Data Checks</w:t>
      </w:r>
    </w:p>
    <w:p w14:paraId="654B2D1F" w14:textId="3365E211" w:rsidR="005C1410" w:rsidRPr="005C1410" w:rsidRDefault="005C1410" w:rsidP="002F5C6E">
      <w:r>
        <w:t xml:space="preserve">The </w:t>
      </w:r>
      <w:r w:rsidR="0026535D">
        <w:t>s</w:t>
      </w:r>
      <w:r>
        <w:t xml:space="preserve">hifts in </w:t>
      </w:r>
      <w:r w:rsidR="0026535D">
        <w:t>d</w:t>
      </w:r>
      <w:r>
        <w:t>ata check</w:t>
      </w:r>
      <w:r w:rsidR="00F80736">
        <w:t xml:space="preserve">s are used to identify if there are any </w:t>
      </w:r>
      <w:r w:rsidR="00710AE8">
        <w:t>stepwise changes in reported concentrations</w:t>
      </w:r>
      <w:r w:rsidR="00F80736">
        <w:t xml:space="preserve"> </w:t>
      </w:r>
      <w:r w:rsidR="0032468B">
        <w:t xml:space="preserve">in </w:t>
      </w:r>
      <w:r w:rsidR="00F80736">
        <w:t xml:space="preserve">either the baseline concentrations or the </w:t>
      </w:r>
      <w:r w:rsidR="0032468B">
        <w:t>monthly mean concentrations.</w:t>
      </w:r>
    </w:p>
    <w:p w14:paraId="17650553" w14:textId="0E71F176" w:rsidR="00A80AE0" w:rsidRDefault="001B4E65" w:rsidP="00A80AE0">
      <w:pPr>
        <w:pStyle w:val="Heading3"/>
      </w:pPr>
      <w:r>
        <w:t>2.4</w:t>
      </w:r>
      <w:r w:rsidR="005161C2">
        <w:t xml:space="preserve">.1 </w:t>
      </w:r>
      <w:r w:rsidR="00A80AE0">
        <w:t xml:space="preserve">Baseline </w:t>
      </w:r>
      <w:r w:rsidR="00D943AE">
        <w:t>Shift</w:t>
      </w:r>
    </w:p>
    <w:p w14:paraId="14E449CE" w14:textId="66F08B7D" w:rsidR="00537645" w:rsidRDefault="00537645" w:rsidP="00537645">
      <w:pPr>
        <w:pStyle w:val="Bullets1"/>
      </w:pPr>
      <w:r>
        <w:t xml:space="preserve">This check is applied to </w:t>
      </w:r>
      <w:r w:rsidR="000E4946">
        <w:t xml:space="preserve">all parameter except wind speed, wind direction, temperature, </w:t>
      </w:r>
      <w:r w:rsidR="005C1410">
        <w:t>and relative</w:t>
      </w:r>
      <w:r w:rsidR="000E4946">
        <w:t xml:space="preserve"> humidity.</w:t>
      </w:r>
    </w:p>
    <w:p w14:paraId="5AE65892" w14:textId="2D6D6368" w:rsidR="0032468B" w:rsidRDefault="004C41BB" w:rsidP="00152A38">
      <w:pPr>
        <w:pStyle w:val="Bullets1"/>
        <w:spacing w:after="0"/>
      </w:pPr>
      <w:r>
        <w:t xml:space="preserve">The previous three years of data </w:t>
      </w:r>
      <w:r w:rsidR="009F6CB6">
        <w:t xml:space="preserve">are </w:t>
      </w:r>
      <w:r>
        <w:t>used to determine the historical 10</w:t>
      </w:r>
      <w:r w:rsidRPr="0032468B">
        <w:rPr>
          <w:vertAlign w:val="superscript"/>
        </w:rPr>
        <w:t>th</w:t>
      </w:r>
      <w:r>
        <w:t xml:space="preserve"> percentile. The </w:t>
      </w:r>
      <w:r w:rsidR="00AD18C1">
        <w:t xml:space="preserve">subset of </w:t>
      </w:r>
      <w:r>
        <w:t xml:space="preserve">historical and target year </w:t>
      </w:r>
      <w:r w:rsidR="00D9179E">
        <w:t>concentration</w:t>
      </w:r>
      <w:r w:rsidR="00EC216A">
        <w:t>s</w:t>
      </w:r>
      <w:r>
        <w:t xml:space="preserve"> below the historical 10</w:t>
      </w:r>
      <w:r w:rsidRPr="0032468B">
        <w:rPr>
          <w:vertAlign w:val="superscript"/>
        </w:rPr>
        <w:t>th</w:t>
      </w:r>
      <w:r>
        <w:t xml:space="preserve"> percentile are used to calculate monthly </w:t>
      </w:r>
      <w:r w:rsidR="00DA01D4">
        <w:t xml:space="preserve">base </w:t>
      </w:r>
      <w:r>
        <w:t xml:space="preserve">mean </w:t>
      </w:r>
      <w:r w:rsidR="00DA01D4">
        <w:t xml:space="preserve">concentration </w:t>
      </w:r>
      <w:r>
        <w:t xml:space="preserve">for </w:t>
      </w:r>
      <w:r w:rsidR="00D9179E">
        <w:t xml:space="preserve">both </w:t>
      </w:r>
      <w:r>
        <w:t xml:space="preserve">the historical </w:t>
      </w:r>
      <w:r w:rsidR="00EC216A">
        <w:t xml:space="preserve">period </w:t>
      </w:r>
      <w:r>
        <w:t xml:space="preserve">and target year. A sample month is tagged for further investigation if the base historical mean is greater than twice </w:t>
      </w:r>
      <w:r w:rsidR="00EC216A">
        <w:t xml:space="preserve">the base target </w:t>
      </w:r>
      <w:proofErr w:type="gramStart"/>
      <w:r w:rsidR="00EC216A">
        <w:t>mean</w:t>
      </w:r>
      <w:proofErr w:type="gramEnd"/>
      <w:r>
        <w:t xml:space="preserve"> </w:t>
      </w:r>
      <w:r w:rsidR="00DA01D4">
        <w:t xml:space="preserve">or less than half of the </w:t>
      </w:r>
      <w:r w:rsidR="00EC216A">
        <w:t xml:space="preserve">base </w:t>
      </w:r>
      <w:r w:rsidR="00DA01D4">
        <w:t>target m</w:t>
      </w:r>
      <w:r w:rsidR="0032468B">
        <w:t>ean.</w:t>
      </w:r>
    </w:p>
    <w:p w14:paraId="489A435F" w14:textId="4724693E" w:rsidR="000E4946" w:rsidRDefault="000E4946" w:rsidP="001B4E65">
      <w:pPr>
        <w:pStyle w:val="Bullets2"/>
        <w:spacing w:after="0"/>
      </w:pPr>
      <w:r>
        <w:t>As the previous three years of data at the station are required for this check, if a station does not have this data available, the check is skipped.</w:t>
      </w:r>
    </w:p>
    <w:p w14:paraId="5935946F" w14:textId="58CDAF64" w:rsidR="002A3FC9" w:rsidRDefault="00D943AE" w:rsidP="007F0D7C">
      <w:pPr>
        <w:pStyle w:val="Bullets1"/>
      </w:pPr>
      <w:r w:rsidRPr="00A41888">
        <w:t>Suppleme</w:t>
      </w:r>
      <w:r>
        <w:t>ntary visual time series review</w:t>
      </w:r>
      <w:r w:rsidR="001B4E65">
        <w:t xml:space="preserve"> (Section 2.</w:t>
      </w:r>
      <w:r w:rsidR="00A270F7">
        <w:t>5</w:t>
      </w:r>
      <w:r w:rsidR="001B4E65">
        <w:t>)</w:t>
      </w:r>
      <w:r>
        <w:t xml:space="preserve"> </w:t>
      </w:r>
      <w:r w:rsidR="001B4E65">
        <w:t>was</w:t>
      </w:r>
      <w:r>
        <w:t xml:space="preserve"> also used to identify shifts that occur between subsequent months or mid-month that aren’t </w:t>
      </w:r>
      <w:r w:rsidR="009E6C2C">
        <w:t>t</w:t>
      </w:r>
      <w:r>
        <w:t>agged through comparison with historical data.</w:t>
      </w:r>
    </w:p>
    <w:p w14:paraId="778C5058" w14:textId="3D9CCE6F" w:rsidR="00A80AE0" w:rsidRDefault="005161C2" w:rsidP="00D943AE">
      <w:pPr>
        <w:pStyle w:val="Heading3"/>
      </w:pPr>
      <w:r>
        <w:t>2.</w:t>
      </w:r>
      <w:r w:rsidR="001B4E65">
        <w:t>4</w:t>
      </w:r>
      <w:r>
        <w:t xml:space="preserve">.2 </w:t>
      </w:r>
      <w:r w:rsidR="00D943AE">
        <w:t>Shift in Mean</w:t>
      </w:r>
    </w:p>
    <w:p w14:paraId="14F02C12" w14:textId="6EB213D3" w:rsidR="00537645" w:rsidRDefault="00537645" w:rsidP="00537645">
      <w:pPr>
        <w:pStyle w:val="Bullets1"/>
      </w:pPr>
      <w:r>
        <w:t>This check is applied</w:t>
      </w:r>
      <w:r w:rsidR="000E4946">
        <w:t xml:space="preserve"> to all parameter</w:t>
      </w:r>
      <w:r w:rsidR="0026535D">
        <w:t>s</w:t>
      </w:r>
      <w:r w:rsidR="000E4946">
        <w:t xml:space="preserve"> except wind direction.</w:t>
      </w:r>
    </w:p>
    <w:p w14:paraId="5230F098" w14:textId="77777777" w:rsidR="0026535D" w:rsidRDefault="00DA01D4" w:rsidP="00BA37D2">
      <w:pPr>
        <w:pStyle w:val="Bullets1"/>
        <w:spacing w:after="0"/>
      </w:pPr>
      <w:r>
        <w:t xml:space="preserve">This check compares </w:t>
      </w:r>
      <w:r w:rsidR="000B3E90">
        <w:t>concentrations</w:t>
      </w:r>
      <w:r>
        <w:t xml:space="preserve"> for </w:t>
      </w:r>
      <w:r w:rsidR="0026535D">
        <w:t xml:space="preserve">the </w:t>
      </w:r>
      <w:r>
        <w:t xml:space="preserve">target year with </w:t>
      </w:r>
      <w:r w:rsidR="000B3E90">
        <w:t>concentrations</w:t>
      </w:r>
      <w:r w:rsidR="001B4E65">
        <w:t xml:space="preserve"> for the previous </w:t>
      </w:r>
      <w:r w:rsidR="00A270F7">
        <w:t>three</w:t>
      </w:r>
      <w:r w:rsidR="001B4E65">
        <w:t xml:space="preserve"> years.</w:t>
      </w:r>
      <w:r>
        <w:t xml:space="preserve"> </w:t>
      </w:r>
    </w:p>
    <w:p w14:paraId="2628229F" w14:textId="5256420E" w:rsidR="00D943AE" w:rsidRDefault="000B3E90" w:rsidP="00BA37D2">
      <w:pPr>
        <w:pStyle w:val="Bullets1"/>
        <w:spacing w:after="0"/>
      </w:pPr>
      <w:r w:rsidRPr="001B4E65">
        <w:rPr>
          <w:rFonts w:eastAsiaTheme="minorEastAsia"/>
        </w:rPr>
        <w:t xml:space="preserve">The monthly </w:t>
      </w:r>
      <w:r w:rsidR="00D943AE" w:rsidRPr="001B4E65">
        <w:rPr>
          <w:rFonts w:eastAsiaTheme="minorEastAsia"/>
        </w:rPr>
        <w:t>mean value</w:t>
      </w:r>
      <w:r w:rsidRPr="001B4E65">
        <w:rPr>
          <w:rFonts w:eastAsiaTheme="minorEastAsia"/>
        </w:rPr>
        <w:t>s were calculated for</w:t>
      </w:r>
      <w:r w:rsidR="001B4E65">
        <w:rPr>
          <w:rFonts w:eastAsiaTheme="minorEastAsia"/>
        </w:rPr>
        <w:t xml:space="preserve"> the</w:t>
      </w:r>
      <w:r w:rsidRPr="001B4E65">
        <w:rPr>
          <w:rFonts w:eastAsiaTheme="minorEastAsia"/>
        </w:rPr>
        <w:t xml:space="preserve"> target</w:t>
      </w:r>
      <w:r w:rsidR="001B4E65">
        <w:rPr>
          <w:rFonts w:eastAsiaTheme="minorEastAsia"/>
        </w:rPr>
        <w:t xml:space="preserve"> year</w:t>
      </w:r>
      <w:r w:rsidRPr="001B4E65">
        <w:rPr>
          <w:rFonts w:eastAsiaTheme="minorEastAsia"/>
        </w:rPr>
        <w:t xml:space="preserve"> </w:t>
      </w:r>
      <w:r w:rsidR="00D943AE">
        <w:t>(</w:t>
      </w:r>
      <m:oMath>
        <m:sSub>
          <m:sSubPr>
            <m:ctrlPr>
              <w:rPr>
                <w:rFonts w:ascii="Cambria Math" w:hAnsi="Cambria Math"/>
                <w:i/>
              </w:rPr>
            </m:ctrlPr>
          </m:sSubPr>
          <m:e>
            <m:r>
              <w:rPr>
                <w:rFonts w:ascii="Cambria Math" w:hAnsi="Cambria Math"/>
              </w:rPr>
              <m:t>μ</m:t>
            </m:r>
          </m:e>
          <m:sub>
            <m:r>
              <w:rPr>
                <w:rFonts w:ascii="Cambria Math" w:hAnsi="Cambria Math"/>
              </w:rPr>
              <m:t>Jan</m:t>
            </m:r>
          </m:sub>
        </m:sSub>
      </m:oMath>
      <w:r w:rsidR="00D943AE" w:rsidRPr="001B4E65">
        <w:rPr>
          <w:rFonts w:eastAsiaTheme="minorEastAsia"/>
        </w:rPr>
        <w:t xml:space="preserve">, </w:t>
      </w:r>
      <m:oMath>
        <m:sSub>
          <m:sSubPr>
            <m:ctrlPr>
              <w:rPr>
                <w:rFonts w:ascii="Cambria Math" w:hAnsi="Cambria Math"/>
                <w:i/>
              </w:rPr>
            </m:ctrlPr>
          </m:sSubPr>
          <m:e>
            <m:r>
              <w:rPr>
                <w:rFonts w:ascii="Cambria Math" w:hAnsi="Cambria Math"/>
              </w:rPr>
              <m:t>μ</m:t>
            </m:r>
          </m:e>
          <m:sub>
            <m:r>
              <w:rPr>
                <w:rFonts w:ascii="Cambria Math" w:hAnsi="Cambria Math"/>
              </w:rPr>
              <m:t>Feb</m:t>
            </m:r>
          </m:sub>
        </m:sSub>
      </m:oMath>
      <w:r w:rsidR="00D943AE" w:rsidRPr="001B4E65">
        <w:rPr>
          <w:rFonts w:eastAsiaTheme="minorEastAsia"/>
        </w:rPr>
        <w:t>, etc.)</w:t>
      </w:r>
      <w:r w:rsidRPr="001B4E65">
        <w:rPr>
          <w:rFonts w:eastAsiaTheme="minorEastAsia"/>
        </w:rPr>
        <w:t xml:space="preserve"> and </w:t>
      </w:r>
      <w:r>
        <w:t>for the previous three years (</w:t>
      </w:r>
      <m:oMath>
        <m:sSub>
          <m:sSubPr>
            <m:ctrlPr>
              <w:rPr>
                <w:rFonts w:ascii="Cambria Math" w:hAnsi="Cambria Math"/>
                <w:i/>
              </w:rPr>
            </m:ctrlPr>
          </m:sSubPr>
          <m:e>
            <m:r>
              <w:rPr>
                <w:rFonts w:ascii="Cambria Math" w:hAnsi="Cambria Math"/>
              </w:rPr>
              <m:t>μ</m:t>
            </m:r>
          </m:e>
          <m:sub>
            <m:r>
              <w:rPr>
                <w:rFonts w:ascii="Cambria Math" w:hAnsi="Cambria Math"/>
              </w:rPr>
              <m:t>HJan</m:t>
            </m:r>
          </m:sub>
        </m:sSub>
      </m:oMath>
      <w:r w:rsidRPr="001B4E65">
        <w:rPr>
          <w:rFonts w:eastAsiaTheme="minorEastAsia"/>
        </w:rPr>
        <w:t xml:space="preserve">, </w:t>
      </w:r>
      <m:oMath>
        <m:sSub>
          <m:sSubPr>
            <m:ctrlPr>
              <w:rPr>
                <w:rFonts w:ascii="Cambria Math" w:hAnsi="Cambria Math"/>
                <w:i/>
              </w:rPr>
            </m:ctrlPr>
          </m:sSubPr>
          <m:e>
            <m:r>
              <w:rPr>
                <w:rFonts w:ascii="Cambria Math" w:hAnsi="Cambria Math"/>
              </w:rPr>
              <m:t>μ</m:t>
            </m:r>
          </m:e>
          <m:sub>
            <m:r>
              <w:rPr>
                <w:rFonts w:ascii="Cambria Math" w:hAnsi="Cambria Math"/>
              </w:rPr>
              <m:t>HFeb</m:t>
            </m:r>
          </m:sub>
        </m:sSub>
      </m:oMath>
      <w:r w:rsidRPr="001B4E65">
        <w:rPr>
          <w:rFonts w:eastAsiaTheme="minorEastAsia"/>
        </w:rPr>
        <w:t xml:space="preserve">, etc.). Sample months were tagged for further investigation when the </w:t>
      </w:r>
      <w:r w:rsidR="00D943AE">
        <w:t xml:space="preserve">percent difference </w:t>
      </w:r>
      <w:r w:rsidR="00EC316C">
        <w:t>between the target year monthly mean value and the monthly mean of the previous three years</w:t>
      </w:r>
      <w:r>
        <w:t xml:space="preserve"> was greater </w:t>
      </w:r>
      <w:r w:rsidRPr="00444044">
        <w:rPr>
          <w:highlight w:val="yellow"/>
        </w:rPr>
        <w:t>than a set threshold value</w:t>
      </w:r>
      <w:r w:rsidR="001B4E65">
        <w:t>.</w:t>
      </w:r>
    </w:p>
    <w:p w14:paraId="6CC507D3" w14:textId="77777777" w:rsidR="00EC316C" w:rsidRPr="00EC316C" w:rsidRDefault="00EC316C" w:rsidP="00405072">
      <w:pPr>
        <w:pStyle w:val="Bullets1"/>
        <w:numPr>
          <w:ilvl w:val="0"/>
          <w:numId w:val="0"/>
        </w:numPr>
        <w:spacing w:after="90"/>
        <w:ind w:left="187"/>
        <w:rPr>
          <w:rFonts w:eastAsiaTheme="minorEastAsia"/>
        </w:rPr>
      </w:pPr>
      <m:oMathPara>
        <m:oMath>
          <m:r>
            <w:rPr>
              <w:rFonts w:ascii="Cambria Math" w:hAnsi="Cambria Math"/>
            </w:rPr>
            <m:t>Pdiff=</m:t>
          </m:r>
          <m:f>
            <m:fPr>
              <m:ctrlPr>
                <w:rPr>
                  <w:rFonts w:ascii="Cambria Math" w:hAnsi="Cambria Math"/>
                  <w:i/>
                </w:rPr>
              </m:ctrlPr>
            </m:fPr>
            <m:num>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Jan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HJan</m:t>
                      </m:r>
                    </m:sub>
                  </m:sSub>
                </m:e>
              </m:d>
            </m:num>
            <m:den>
              <m:sSub>
                <m:sSubPr>
                  <m:ctrlPr>
                    <w:rPr>
                      <w:rFonts w:ascii="Cambria Math" w:hAnsi="Cambria Math"/>
                      <w:i/>
                    </w:rPr>
                  </m:ctrlPr>
                </m:sSubPr>
                <m:e>
                  <m:r>
                    <w:rPr>
                      <w:rFonts w:ascii="Cambria Math" w:hAnsi="Cambria Math"/>
                    </w:rPr>
                    <m:t>μ</m:t>
                  </m:r>
                </m:e>
                <m:sub>
                  <m:r>
                    <w:rPr>
                      <w:rFonts w:ascii="Cambria Math" w:hAnsi="Cambria Math"/>
                    </w:rPr>
                    <m:t>HJan</m:t>
                  </m:r>
                </m:sub>
              </m:sSub>
            </m:den>
          </m:f>
          <m:r>
            <w:rPr>
              <w:rFonts w:ascii="Cambria Math" w:hAnsi="Cambria Math"/>
            </w:rPr>
            <m:t>×100%</m:t>
          </m:r>
        </m:oMath>
      </m:oMathPara>
    </w:p>
    <w:p w14:paraId="177EE783" w14:textId="77777777" w:rsidR="001B4E65" w:rsidRDefault="00EC316C" w:rsidP="00405072">
      <w:pPr>
        <w:pStyle w:val="Bullets1"/>
        <w:numPr>
          <w:ilvl w:val="0"/>
          <w:numId w:val="0"/>
        </w:numPr>
        <w:spacing w:after="90"/>
        <w:ind w:left="187"/>
        <w:jc w:val="center"/>
        <w:rPr>
          <w:rFonts w:eastAsiaTheme="minorEastAsia"/>
        </w:rPr>
      </w:pPr>
      <m:oMathPara>
        <m:oMath>
          <m:r>
            <w:rPr>
              <w:rFonts w:ascii="Cambria Math" w:hAnsi="Cambria Math"/>
            </w:rPr>
            <m:t>Pdiff&gt;</m:t>
          </m:r>
          <m:sSub>
            <m:sSubPr>
              <m:ctrlPr>
                <w:rPr>
                  <w:rFonts w:ascii="Cambria Math" w:hAnsi="Cambria Math"/>
                  <w:i/>
                </w:rPr>
              </m:ctrlPr>
            </m:sSubPr>
            <m:e>
              <m:r>
                <w:rPr>
                  <w:rFonts w:ascii="Cambria Math" w:hAnsi="Cambria Math"/>
                </w:rPr>
                <m:t>Pdiff</m:t>
              </m:r>
            </m:e>
            <m:sub>
              <m:r>
                <w:rPr>
                  <w:rFonts w:ascii="Cambria Math" w:hAnsi="Cambria Math"/>
                </w:rPr>
                <m:t>thresh</m:t>
              </m:r>
            </m:sub>
          </m:sSub>
        </m:oMath>
      </m:oMathPara>
    </w:p>
    <w:p w14:paraId="5DCA103A" w14:textId="01BB0D75" w:rsidR="00EC316C" w:rsidRPr="00EC316C" w:rsidRDefault="001B4E65" w:rsidP="001B4E65">
      <w:pPr>
        <w:pStyle w:val="Bullets1"/>
      </w:pPr>
      <w:r>
        <w:t xml:space="preserve">In the pilot year, </w:t>
      </w:r>
      <m:oMath>
        <m:sSub>
          <m:sSubPr>
            <m:ctrlPr>
              <w:rPr>
                <w:rFonts w:ascii="Cambria Math" w:hAnsi="Cambria Math"/>
                <w:i/>
              </w:rPr>
            </m:ctrlPr>
          </m:sSubPr>
          <m:e>
            <m:r>
              <w:rPr>
                <w:rFonts w:ascii="Cambria Math" w:hAnsi="Cambria Math"/>
              </w:rPr>
              <m:t>Pdiff</m:t>
            </m:r>
          </m:e>
          <m:sub>
            <m:r>
              <w:rPr>
                <w:rFonts w:ascii="Cambria Math" w:hAnsi="Cambria Math"/>
              </w:rPr>
              <m:t>thresh</m:t>
            </m:r>
          </m:sub>
        </m:sSub>
        <m:r>
          <w:rPr>
            <w:rFonts w:ascii="Cambria Math" w:hAnsi="Cambria Math"/>
          </w:rPr>
          <m:t>=100%</m:t>
        </m:r>
      </m:oMath>
      <w:r>
        <w:t>.</w:t>
      </w:r>
    </w:p>
    <w:p w14:paraId="2BDD7489" w14:textId="55F9048D" w:rsidR="00EC316C" w:rsidRDefault="00EC316C" w:rsidP="00EC316C">
      <w:pPr>
        <w:pStyle w:val="Bullets1"/>
      </w:pPr>
      <w:r w:rsidRPr="00A41888">
        <w:t>Suppleme</w:t>
      </w:r>
      <w:r>
        <w:t>ntary visual time series review</w:t>
      </w:r>
      <w:r w:rsidR="001B4E65">
        <w:t xml:space="preserve"> (Section 2.</w:t>
      </w:r>
      <w:r w:rsidR="00A270F7">
        <w:t>5</w:t>
      </w:r>
      <w:r w:rsidR="001B4E65">
        <w:t>)</w:t>
      </w:r>
      <w:r>
        <w:t xml:space="preserve"> </w:t>
      </w:r>
      <w:r w:rsidR="00A270F7">
        <w:t>was also</w:t>
      </w:r>
      <w:r>
        <w:t xml:space="preserve"> used to identify shifts that occur between subsequent months or mid-month that aren’t </w:t>
      </w:r>
      <w:r w:rsidR="009E6C2C">
        <w:t xml:space="preserve">tagged </w:t>
      </w:r>
      <w:r>
        <w:t>through comparison with historical data.</w:t>
      </w:r>
    </w:p>
    <w:p w14:paraId="08E10F62" w14:textId="157BA4C6" w:rsidR="000C2D64" w:rsidRDefault="000C2D64" w:rsidP="00E54FC6">
      <w:pPr>
        <w:pStyle w:val="Heading2"/>
      </w:pPr>
      <w:r>
        <w:t>2.5 Visual Time Series Check</w:t>
      </w:r>
    </w:p>
    <w:p w14:paraId="66F8524D" w14:textId="77777777" w:rsidR="00293CAF" w:rsidRDefault="000C2D64" w:rsidP="00293CAF">
      <w:pPr>
        <w:pStyle w:val="ListParagraph"/>
        <w:numPr>
          <w:ilvl w:val="0"/>
          <w:numId w:val="15"/>
        </w:numPr>
        <w:ind w:left="142" w:hanging="142"/>
      </w:pPr>
      <w:r>
        <w:t xml:space="preserve">A visual check of time series of each parameter for each station is performed to determine if the reported concentrations are generally as expected or if there are obvious </w:t>
      </w:r>
      <w:r w:rsidRPr="007578DA">
        <w:t>data anomalies</w:t>
      </w:r>
      <w:r>
        <w:t xml:space="preserve">. Many of the potential anomalies identified through this check were also pickup by the more detailed checks presented in Sections 2.1-2.4. </w:t>
      </w:r>
    </w:p>
    <w:p w14:paraId="3B76119A" w14:textId="77777777" w:rsidR="00293CAF" w:rsidRDefault="000C2D64" w:rsidP="00293CAF">
      <w:pPr>
        <w:pStyle w:val="ListParagraph"/>
        <w:numPr>
          <w:ilvl w:val="0"/>
          <w:numId w:val="15"/>
        </w:numPr>
        <w:spacing w:after="0"/>
        <w:ind w:left="142" w:hanging="142"/>
      </w:pPr>
      <w:r>
        <w:t>The few cases that were not identified by the detailed checks were tagged for further disc</w:t>
      </w:r>
      <w:r w:rsidR="00383971">
        <w:t>ussion with the data provider.</w:t>
      </w:r>
    </w:p>
    <w:p w14:paraId="6ECBE441" w14:textId="1D26A948" w:rsidR="00293CAF" w:rsidRDefault="00293CAF" w:rsidP="00293CAF">
      <w:pPr>
        <w:pStyle w:val="Bullets2"/>
      </w:pPr>
      <w:r>
        <w:t xml:space="preserve">For example, </w:t>
      </w:r>
      <w:r w:rsidR="009E6C2C">
        <w:t>a station</w:t>
      </w:r>
      <w:r w:rsidR="00B52488">
        <w:t xml:space="preserve"> with a wind direction range</w:t>
      </w:r>
      <w:r w:rsidR="009E6C2C">
        <w:t xml:space="preserve"> that did not span the full 0-360° but instead was limited to </w:t>
      </w:r>
      <w:r>
        <w:t>25</w:t>
      </w:r>
      <w:r w:rsidR="009E6C2C">
        <w:t>-</w:t>
      </w:r>
      <w:r>
        <w:t xml:space="preserve">325° </w:t>
      </w:r>
      <w:r w:rsidR="009E6C2C">
        <w:t xml:space="preserve">was not tagged as a potential issue in the wind direction range check (Section 2.1.1) as </w:t>
      </w:r>
      <w:r w:rsidR="00B52488">
        <w:t>there was data in each quadrant</w:t>
      </w:r>
      <w:r w:rsidR="009E6C2C">
        <w:t>. However, a visual time series check was able to tag t</w:t>
      </w:r>
      <w:r w:rsidR="00B52488">
        <w:t>his data for further discussion with the data provider.</w:t>
      </w:r>
    </w:p>
    <w:p w14:paraId="69CC8216" w14:textId="59EDDFB8" w:rsidR="00EC316C" w:rsidRDefault="005C1410" w:rsidP="00E54FC6">
      <w:pPr>
        <w:pStyle w:val="Heading2"/>
      </w:pPr>
      <w:r>
        <w:t>2.</w:t>
      </w:r>
      <w:r w:rsidR="000C2D64">
        <w:t>6</w:t>
      </w:r>
      <w:r>
        <w:t xml:space="preserve"> </w:t>
      </w:r>
      <w:r w:rsidR="002C17FF">
        <w:t>Expected Parameters Check</w:t>
      </w:r>
    </w:p>
    <w:p w14:paraId="425F23AD" w14:textId="68922D2B" w:rsidR="008625A4" w:rsidRPr="00250564" w:rsidRDefault="002C17FF" w:rsidP="00250564">
      <w:pPr>
        <w:pStyle w:val="Bullets1"/>
      </w:pPr>
      <w:r>
        <w:t xml:space="preserve">For each station, the parameters reported </w:t>
      </w:r>
      <w:r w:rsidR="00706030">
        <w:t xml:space="preserve">during the year are compared to the parameters expected to be reported by that station. </w:t>
      </w:r>
      <w:r w:rsidR="000B3E90">
        <w:t xml:space="preserve">This allows the identification of measured yet not reported parameters.  </w:t>
      </w:r>
    </w:p>
    <w:sectPr w:rsidR="008625A4" w:rsidRPr="00250564" w:rsidSect="001A0B0D">
      <w:type w:val="continuous"/>
      <w:pgSz w:w="12240" w:h="15840" w:code="1"/>
      <w:pgMar w:top="1080" w:right="1080" w:bottom="1440" w:left="1080" w:header="547" w:footer="40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716D" w14:textId="77777777" w:rsidR="0048605B" w:rsidRDefault="0048605B" w:rsidP="00EB6203">
      <w:r>
        <w:separator/>
      </w:r>
    </w:p>
  </w:endnote>
  <w:endnote w:type="continuationSeparator" w:id="0">
    <w:p w14:paraId="608C51AA" w14:textId="77777777" w:rsidR="0048605B" w:rsidRDefault="0048605B"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B464" w14:textId="77777777" w:rsidR="00134125" w:rsidRDefault="00134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BBC5" w14:textId="3230BBC8" w:rsidR="00F36F58" w:rsidRPr="008F283B" w:rsidRDefault="00F36F58" w:rsidP="002A3FC9">
    <w:pPr>
      <w:spacing w:after="80" w:line="240" w:lineRule="auto"/>
      <w:rPr>
        <w:sz w:val="14"/>
        <w:szCs w:val="14"/>
      </w:rPr>
    </w:pPr>
    <w:r w:rsidRPr="00B87578">
      <w:rPr>
        <w:rFonts w:cs="HelveticaNeueLT Std Cn"/>
        <w:noProof/>
        <w:color w:val="36424A"/>
        <w:sz w:val="14"/>
        <w:szCs w:val="16"/>
        <w:highlight w:val="yellow"/>
      </w:rPr>
      <mc:AlternateContent>
        <mc:Choice Requires="wps">
          <w:drawing>
            <wp:anchor distT="0" distB="0" distL="114300" distR="114300" simplePos="0" relativeHeight="251658240" behindDoc="0" locked="0" layoutInCell="0" allowOverlap="1" wp14:anchorId="207D9C9F" wp14:editId="0DEE3E55">
              <wp:simplePos x="0" y="0"/>
              <wp:positionH relativeFrom="page">
                <wp:posOffset>0</wp:posOffset>
              </wp:positionH>
              <wp:positionV relativeFrom="page">
                <wp:posOffset>9594215</wp:posOffset>
              </wp:positionV>
              <wp:extent cx="7772400" cy="273050"/>
              <wp:effectExtent l="0" t="0" r="0" b="12700"/>
              <wp:wrapNone/>
              <wp:docPr id="2" name="MSIPCM16c3429881db999b8cc26e67"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EAC87" w14:textId="77777777" w:rsidR="00F36F58" w:rsidRPr="006F02A9" w:rsidRDefault="00F36F58" w:rsidP="006F02A9">
                          <w:pPr>
                            <w:spacing w:after="0"/>
                            <w:rPr>
                              <w:rFonts w:ascii="Calibri" w:hAnsi="Calibri" w:cs="Calibri"/>
                              <w:color w:val="000000"/>
                              <w:sz w:val="22"/>
                            </w:rPr>
                          </w:pPr>
                          <w:r w:rsidRPr="006F02A9">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7D9C9F" id="_x0000_t202" coordsize="21600,21600" o:spt="202" path="m,l,21600r21600,l21600,xe">
              <v:stroke joinstyle="miter"/>
              <v:path gradientshapeok="t" o:connecttype="rect"/>
            </v:shapetype>
            <v:shape id="MSIPCM16c3429881db999b8cc26e67"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2BDEAC87" w14:textId="77777777" w:rsidR="00F36F58" w:rsidRPr="006F02A9" w:rsidRDefault="00F36F58" w:rsidP="006F02A9">
                    <w:pPr>
                      <w:spacing w:after="0"/>
                      <w:rPr>
                        <w:rFonts w:ascii="Calibri" w:hAnsi="Calibri" w:cs="Calibri"/>
                        <w:color w:val="000000"/>
                        <w:sz w:val="22"/>
                      </w:rPr>
                    </w:pPr>
                    <w:r w:rsidRPr="006F02A9">
                      <w:rPr>
                        <w:rFonts w:ascii="Calibri" w:hAnsi="Calibri" w:cs="Calibri"/>
                        <w:color w:val="000000"/>
                        <w:sz w:val="22"/>
                      </w:rPr>
                      <w:t>Classification: Protected A</w:t>
                    </w:r>
                  </w:p>
                </w:txbxContent>
              </v:textbox>
              <w10:wrap anchorx="page" anchory="page"/>
            </v:shape>
          </w:pict>
        </mc:Fallback>
      </mc:AlternateContent>
    </w:r>
    <w:r w:rsidRPr="00B87578">
      <w:rPr>
        <w:rFonts w:cs="HelveticaNeueLT Std Cn"/>
        <w:noProof/>
        <w:color w:val="36424A"/>
        <w:sz w:val="14"/>
        <w:szCs w:val="16"/>
        <w:highlight w:val="yellow"/>
      </w:rPr>
      <w:drawing>
        <wp:anchor distT="0" distB="0" distL="114300" distR="114300" simplePos="0" relativeHeight="251657216" behindDoc="0" locked="0" layoutInCell="1" allowOverlap="1" wp14:anchorId="07D9E9B2" wp14:editId="4DE70896">
          <wp:simplePos x="0" y="0"/>
          <wp:positionH relativeFrom="column">
            <wp:posOffset>5257800</wp:posOffset>
          </wp:positionH>
          <wp:positionV relativeFrom="page">
            <wp:posOffset>9401810</wp:posOffset>
          </wp:positionV>
          <wp:extent cx="1143000" cy="320040"/>
          <wp:effectExtent l="0" t="0" r="0" b="38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Pr>
        <w:rFonts w:cs="HelveticaNeueLT Std Cn"/>
        <w:sz w:val="14"/>
        <w:szCs w:val="14"/>
      </w:rPr>
      <w:t>©2021</w:t>
    </w:r>
    <w:r w:rsidRPr="0027121C">
      <w:rPr>
        <w:rFonts w:cs="HelveticaNeueLT Std Cn"/>
        <w:sz w:val="14"/>
        <w:szCs w:val="14"/>
      </w:rPr>
      <w:t xml:space="preserve"> Government of </w:t>
    </w:r>
    <w:proofErr w:type="gramStart"/>
    <w:r w:rsidRPr="0027121C">
      <w:rPr>
        <w:rFonts w:cs="HelveticaNeueLT Std Cn"/>
        <w:sz w:val="14"/>
        <w:szCs w:val="14"/>
      </w:rPr>
      <w:t>Alberta</w:t>
    </w:r>
    <w:r>
      <w:rPr>
        <w:rFonts w:cs="HelveticaNeueLT Std Cn"/>
        <w:sz w:val="14"/>
        <w:szCs w:val="14"/>
      </w:rPr>
      <w:t xml:space="preserve"> </w:t>
    </w:r>
    <w:r w:rsidRPr="003424DF">
      <w:rPr>
        <w:sz w:val="14"/>
        <w:szCs w:val="14"/>
      </w:rPr>
      <w:t xml:space="preserve"> </w:t>
    </w:r>
    <w:r w:rsidRPr="0027121C">
      <w:rPr>
        <w:rFonts w:cs="HelveticaNeueLT Std Cn"/>
        <w:sz w:val="14"/>
        <w:szCs w:val="14"/>
      </w:rPr>
      <w:t>|</w:t>
    </w:r>
    <w:proofErr w:type="gramEnd"/>
    <w:r w:rsidRPr="0027121C">
      <w:rPr>
        <w:rFonts w:cs="HelveticaNeueLT Std Cn"/>
        <w:sz w:val="14"/>
        <w:szCs w:val="14"/>
      </w:rPr>
      <w:t xml:space="preserve"> </w:t>
    </w:r>
    <w:r>
      <w:rPr>
        <w:rFonts w:cs="HelveticaNeueLT Std Cn"/>
        <w:sz w:val="14"/>
        <w:szCs w:val="14"/>
      </w:rPr>
      <w:t xml:space="preserve"> </w:t>
    </w:r>
    <w:r>
      <w:rPr>
        <w:sz w:val="14"/>
        <w:szCs w:val="14"/>
      </w:rPr>
      <w:fldChar w:fldCharType="begin"/>
    </w:r>
    <w:r>
      <w:rPr>
        <w:sz w:val="14"/>
        <w:szCs w:val="14"/>
      </w:rPr>
      <w:instrText xml:space="preserve"> DATE \@ "MMMM d, yyyy" </w:instrText>
    </w:r>
    <w:r>
      <w:rPr>
        <w:sz w:val="14"/>
        <w:szCs w:val="14"/>
      </w:rPr>
      <w:fldChar w:fldCharType="separate"/>
    </w:r>
    <w:r w:rsidR="00444044">
      <w:rPr>
        <w:noProof/>
        <w:sz w:val="14"/>
        <w:szCs w:val="14"/>
      </w:rPr>
      <w:t>January 29, 2022</w:t>
    </w:r>
    <w:r>
      <w:rPr>
        <w:sz w:val="14"/>
        <w:szCs w:val="14"/>
      </w:rPr>
      <w:fldChar w:fldCharType="end"/>
    </w:r>
    <w:r>
      <w:rPr>
        <w:sz w:val="14"/>
        <w:szCs w:val="14"/>
      </w:rPr>
      <w:t xml:space="preserve"> </w:t>
    </w:r>
    <w:r w:rsidRPr="0027121C">
      <w:rPr>
        <w:rFonts w:cs="HelveticaNeueLT Std Cn"/>
        <w:sz w:val="14"/>
        <w:szCs w:val="14"/>
      </w:rPr>
      <w:t xml:space="preserve"> |  </w:t>
    </w:r>
    <w:r>
      <w:rPr>
        <w:rFonts w:cs="HelveticaNeueLT Std Cn"/>
        <w:sz w:val="14"/>
        <w:szCs w:val="14"/>
      </w:rPr>
      <w:t>Alberta Environment and Parks</w:t>
    </w:r>
  </w:p>
  <w:p w14:paraId="03FC22BA" w14:textId="77777777" w:rsidR="00F36F58" w:rsidRPr="003424DF" w:rsidRDefault="00F36F58" w:rsidP="003424DF">
    <w:pPr>
      <w:pStyle w:val="Head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7139" w14:textId="77777777" w:rsidR="00F36F58" w:rsidRPr="00162B41" w:rsidRDefault="00F36F58" w:rsidP="00A22DB0">
    <w:pPr>
      <w:pStyle w:val="Calltoaction"/>
    </w:pPr>
    <w:r>
      <w:rPr>
        <w:noProof/>
      </w:rPr>
      <w:drawing>
        <wp:anchor distT="0" distB="0" distL="114300" distR="114300" simplePos="0" relativeHeight="251656192" behindDoc="0" locked="0" layoutInCell="1" allowOverlap="1" wp14:anchorId="334141CD" wp14:editId="6986311C">
          <wp:simplePos x="0" y="0"/>
          <wp:positionH relativeFrom="column">
            <wp:posOffset>5259705</wp:posOffset>
          </wp:positionH>
          <wp:positionV relativeFrom="page">
            <wp:posOffset>9462770</wp:posOffset>
          </wp:positionV>
          <wp:extent cx="1137920" cy="320040"/>
          <wp:effectExtent l="0" t="0" r="5080" b="38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Pr="00162B41">
      <w:t xml:space="preserve">Call to action, corresponding </w:t>
    </w:r>
    <w:proofErr w:type="spellStart"/>
    <w:r w:rsidRPr="00162B41">
      <w:t>url</w:t>
    </w:r>
    <w:proofErr w:type="spellEnd"/>
    <w:r w:rsidRPr="00162B41">
      <w:t xml:space="preserve"> goes in this space (Style: Call to action)</w:t>
    </w:r>
  </w:p>
  <w:p w14:paraId="05DF609E" w14:textId="77777777" w:rsidR="00F36F58" w:rsidRDefault="00F36F58" w:rsidP="00112BDA">
    <w:pPr>
      <w:pStyle w:val="NoSpacing"/>
    </w:pPr>
    <w:r>
      <w:t>©2020</w:t>
    </w:r>
    <w:r w:rsidRPr="00F4526D">
      <w:t xml:space="preserve"> </w:t>
    </w:r>
    <w:r w:rsidRPr="00550206">
      <w:t>Government of</w:t>
    </w:r>
    <w:r w:rsidRPr="00F4526D">
      <w:t xml:space="preserve"> </w:t>
    </w:r>
    <w:proofErr w:type="gramStart"/>
    <w:r w:rsidRPr="00F4526D">
      <w:t>Alberta  |</w:t>
    </w:r>
    <w:proofErr w:type="gramEnd"/>
    <w:r>
      <w:t xml:space="preserve">  Published: March 2020</w:t>
    </w:r>
    <w:r w:rsidRPr="00F4526D">
      <w:t xml:space="preserve">  |  ISBN</w:t>
    </w:r>
    <w:r>
      <w:t>: XXX-X-XXXX-XXXX-X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364B" w14:textId="77777777" w:rsidR="0048605B" w:rsidRPr="001522A5" w:rsidRDefault="0048605B" w:rsidP="00EB6203">
      <w:pPr>
        <w:pStyle w:val="Footer"/>
      </w:pPr>
      <w:r>
        <w:separator/>
      </w:r>
    </w:p>
  </w:footnote>
  <w:footnote w:type="continuationSeparator" w:id="0">
    <w:p w14:paraId="57EC3CFB" w14:textId="77777777" w:rsidR="0048605B" w:rsidRDefault="0048605B" w:rsidP="00EB6203">
      <w:r>
        <w:continuationSeparator/>
      </w:r>
    </w:p>
  </w:footnote>
  <w:footnote w:type="continuationNotice" w:id="1">
    <w:p w14:paraId="323B1322" w14:textId="77777777" w:rsidR="0048605B" w:rsidRDefault="0048605B"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3C85" w14:textId="77777777" w:rsidR="00134125" w:rsidRDefault="00134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87176"/>
      <w:docPartObj>
        <w:docPartGallery w:val="Watermarks"/>
        <w:docPartUnique/>
      </w:docPartObj>
    </w:sdtPr>
    <w:sdtEndPr/>
    <w:sdtContent>
      <w:p w14:paraId="6F921E39" w14:textId="0F07AF13" w:rsidR="001C64E3" w:rsidRDefault="00444044">
        <w:pPr>
          <w:pStyle w:val="Header"/>
        </w:pPr>
        <w:r>
          <w:rPr>
            <w:noProof/>
          </w:rPr>
          <w:pict w14:anchorId="4EEAD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96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7244" w14:textId="77777777" w:rsidR="00134125" w:rsidRDefault="00134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34D36"/>
    <w:multiLevelType w:val="hybridMultilevel"/>
    <w:tmpl w:val="A8C0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63587"/>
    <w:multiLevelType w:val="hybridMultilevel"/>
    <w:tmpl w:val="517A32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147ED9"/>
    <w:multiLevelType w:val="hybridMultilevel"/>
    <w:tmpl w:val="62BC4A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7"/>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4"/>
  </w:num>
  <w:num w:numId="10">
    <w:abstractNumId w:val="5"/>
  </w:num>
  <w:num w:numId="11">
    <w:abstractNumId w:val="8"/>
  </w:num>
  <w:num w:numId="12">
    <w:abstractNumId w:val="10"/>
  </w:num>
  <w:num w:numId="13">
    <w:abstractNumId w:val="6"/>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9698"/>
    <o:shapelayout v:ext="edit">
      <o:idmap v:ext="edit" data="29"/>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6FF5"/>
    <w:rsid w:val="00052C04"/>
    <w:rsid w:val="0008260A"/>
    <w:rsid w:val="000901A3"/>
    <w:rsid w:val="000A0261"/>
    <w:rsid w:val="000B0F94"/>
    <w:rsid w:val="000B3E90"/>
    <w:rsid w:val="000C2D64"/>
    <w:rsid w:val="000C637A"/>
    <w:rsid w:val="000C70B8"/>
    <w:rsid w:val="000D43B8"/>
    <w:rsid w:val="000E47C0"/>
    <w:rsid w:val="000E4946"/>
    <w:rsid w:val="000F02D8"/>
    <w:rsid w:val="000F0D1F"/>
    <w:rsid w:val="00104B5D"/>
    <w:rsid w:val="00111FC1"/>
    <w:rsid w:val="00112BDA"/>
    <w:rsid w:val="00121A82"/>
    <w:rsid w:val="00134125"/>
    <w:rsid w:val="001522A5"/>
    <w:rsid w:val="0015256C"/>
    <w:rsid w:val="00154CB3"/>
    <w:rsid w:val="001550D4"/>
    <w:rsid w:val="00162B41"/>
    <w:rsid w:val="001839D0"/>
    <w:rsid w:val="001A0B0D"/>
    <w:rsid w:val="001B4E65"/>
    <w:rsid w:val="001B7972"/>
    <w:rsid w:val="001C1969"/>
    <w:rsid w:val="001C64E3"/>
    <w:rsid w:val="001D1C23"/>
    <w:rsid w:val="001F2AA0"/>
    <w:rsid w:val="001F2BC3"/>
    <w:rsid w:val="001F6B22"/>
    <w:rsid w:val="001F6BEA"/>
    <w:rsid w:val="002137E2"/>
    <w:rsid w:val="002254B6"/>
    <w:rsid w:val="00225B11"/>
    <w:rsid w:val="00250564"/>
    <w:rsid w:val="0026535D"/>
    <w:rsid w:val="0027121C"/>
    <w:rsid w:val="002773A1"/>
    <w:rsid w:val="00293CAF"/>
    <w:rsid w:val="002A3FC9"/>
    <w:rsid w:val="002B123C"/>
    <w:rsid w:val="002C17FF"/>
    <w:rsid w:val="002C4A39"/>
    <w:rsid w:val="002D300F"/>
    <w:rsid w:val="002D5C7D"/>
    <w:rsid w:val="002D69F1"/>
    <w:rsid w:val="002E3289"/>
    <w:rsid w:val="002F0AF1"/>
    <w:rsid w:val="002F5C6E"/>
    <w:rsid w:val="00312B81"/>
    <w:rsid w:val="00315960"/>
    <w:rsid w:val="003227A8"/>
    <w:rsid w:val="0032468B"/>
    <w:rsid w:val="0033644C"/>
    <w:rsid w:val="00336ADD"/>
    <w:rsid w:val="003424DF"/>
    <w:rsid w:val="00351BC2"/>
    <w:rsid w:val="003520B0"/>
    <w:rsid w:val="003726D0"/>
    <w:rsid w:val="003746D1"/>
    <w:rsid w:val="00383971"/>
    <w:rsid w:val="00392CD1"/>
    <w:rsid w:val="003A0A54"/>
    <w:rsid w:val="003B79CA"/>
    <w:rsid w:val="003C1E12"/>
    <w:rsid w:val="003C428D"/>
    <w:rsid w:val="003D6957"/>
    <w:rsid w:val="003E2363"/>
    <w:rsid w:val="003E428D"/>
    <w:rsid w:val="003F657D"/>
    <w:rsid w:val="00405072"/>
    <w:rsid w:val="00410643"/>
    <w:rsid w:val="00444044"/>
    <w:rsid w:val="004665BA"/>
    <w:rsid w:val="0047576F"/>
    <w:rsid w:val="004812B3"/>
    <w:rsid w:val="004839E3"/>
    <w:rsid w:val="0048605B"/>
    <w:rsid w:val="004A4EEE"/>
    <w:rsid w:val="004B3FB1"/>
    <w:rsid w:val="004C41BB"/>
    <w:rsid w:val="004E02AB"/>
    <w:rsid w:val="004E6086"/>
    <w:rsid w:val="004F230A"/>
    <w:rsid w:val="00505CBE"/>
    <w:rsid w:val="00511501"/>
    <w:rsid w:val="00511E68"/>
    <w:rsid w:val="005161C2"/>
    <w:rsid w:val="00537645"/>
    <w:rsid w:val="0054556D"/>
    <w:rsid w:val="0055406E"/>
    <w:rsid w:val="00571728"/>
    <w:rsid w:val="00573982"/>
    <w:rsid w:val="00592750"/>
    <w:rsid w:val="00593581"/>
    <w:rsid w:val="005B3D68"/>
    <w:rsid w:val="005B596D"/>
    <w:rsid w:val="005C1410"/>
    <w:rsid w:val="005C382B"/>
    <w:rsid w:val="005D0E14"/>
    <w:rsid w:val="005E5F0A"/>
    <w:rsid w:val="005E6BEF"/>
    <w:rsid w:val="00610787"/>
    <w:rsid w:val="00611E90"/>
    <w:rsid w:val="00613228"/>
    <w:rsid w:val="00624BE8"/>
    <w:rsid w:val="00630E3C"/>
    <w:rsid w:val="00631FB7"/>
    <w:rsid w:val="00640582"/>
    <w:rsid w:val="00640D9E"/>
    <w:rsid w:val="00654485"/>
    <w:rsid w:val="00666335"/>
    <w:rsid w:val="006762F8"/>
    <w:rsid w:val="006930A8"/>
    <w:rsid w:val="00695A9D"/>
    <w:rsid w:val="006A5C6A"/>
    <w:rsid w:val="006D539E"/>
    <w:rsid w:val="006D78D3"/>
    <w:rsid w:val="006E5BE4"/>
    <w:rsid w:val="006E5DCB"/>
    <w:rsid w:val="006E6DD1"/>
    <w:rsid w:val="006F02A9"/>
    <w:rsid w:val="00702BC6"/>
    <w:rsid w:val="007041FE"/>
    <w:rsid w:val="00706030"/>
    <w:rsid w:val="00710AE8"/>
    <w:rsid w:val="007264D1"/>
    <w:rsid w:val="00731893"/>
    <w:rsid w:val="00743487"/>
    <w:rsid w:val="00751F3F"/>
    <w:rsid w:val="007578DA"/>
    <w:rsid w:val="00763E38"/>
    <w:rsid w:val="00764528"/>
    <w:rsid w:val="00767155"/>
    <w:rsid w:val="007D0A2D"/>
    <w:rsid w:val="007E402A"/>
    <w:rsid w:val="007E6398"/>
    <w:rsid w:val="007F0D7C"/>
    <w:rsid w:val="007F501C"/>
    <w:rsid w:val="00806B31"/>
    <w:rsid w:val="0081777C"/>
    <w:rsid w:val="00830452"/>
    <w:rsid w:val="00835009"/>
    <w:rsid w:val="0083709E"/>
    <w:rsid w:val="00841304"/>
    <w:rsid w:val="0085203E"/>
    <w:rsid w:val="008625A4"/>
    <w:rsid w:val="00871BA3"/>
    <w:rsid w:val="0088302E"/>
    <w:rsid w:val="008838F6"/>
    <w:rsid w:val="00891315"/>
    <w:rsid w:val="008A132B"/>
    <w:rsid w:val="008A4C64"/>
    <w:rsid w:val="008C5F94"/>
    <w:rsid w:val="008E40DF"/>
    <w:rsid w:val="008F157D"/>
    <w:rsid w:val="008F283B"/>
    <w:rsid w:val="00905428"/>
    <w:rsid w:val="00961255"/>
    <w:rsid w:val="0097573C"/>
    <w:rsid w:val="009803F7"/>
    <w:rsid w:val="00980E16"/>
    <w:rsid w:val="009A3796"/>
    <w:rsid w:val="009B31EC"/>
    <w:rsid w:val="009B350A"/>
    <w:rsid w:val="009C337A"/>
    <w:rsid w:val="009E0D3C"/>
    <w:rsid w:val="009E6C2C"/>
    <w:rsid w:val="009F4D8F"/>
    <w:rsid w:val="009F6CB6"/>
    <w:rsid w:val="009F705C"/>
    <w:rsid w:val="00A21C6B"/>
    <w:rsid w:val="00A22DB0"/>
    <w:rsid w:val="00A2318F"/>
    <w:rsid w:val="00A245F6"/>
    <w:rsid w:val="00A270F7"/>
    <w:rsid w:val="00A3041F"/>
    <w:rsid w:val="00A41888"/>
    <w:rsid w:val="00A52B9F"/>
    <w:rsid w:val="00A53F08"/>
    <w:rsid w:val="00A543B6"/>
    <w:rsid w:val="00A71F5B"/>
    <w:rsid w:val="00A80AE0"/>
    <w:rsid w:val="00A87016"/>
    <w:rsid w:val="00A917D7"/>
    <w:rsid w:val="00AC79EA"/>
    <w:rsid w:val="00AD0FC6"/>
    <w:rsid w:val="00AD18C1"/>
    <w:rsid w:val="00AD6404"/>
    <w:rsid w:val="00AE6EC3"/>
    <w:rsid w:val="00B11FE4"/>
    <w:rsid w:val="00B178E0"/>
    <w:rsid w:val="00B20BEC"/>
    <w:rsid w:val="00B4225E"/>
    <w:rsid w:val="00B50912"/>
    <w:rsid w:val="00B52488"/>
    <w:rsid w:val="00B620EA"/>
    <w:rsid w:val="00B77862"/>
    <w:rsid w:val="00B87578"/>
    <w:rsid w:val="00BB167B"/>
    <w:rsid w:val="00BB6666"/>
    <w:rsid w:val="00BC2215"/>
    <w:rsid w:val="00BC441F"/>
    <w:rsid w:val="00BC5DC2"/>
    <w:rsid w:val="00BC67A6"/>
    <w:rsid w:val="00BD20F9"/>
    <w:rsid w:val="00BF0E62"/>
    <w:rsid w:val="00BF1FFA"/>
    <w:rsid w:val="00C20405"/>
    <w:rsid w:val="00C22ECD"/>
    <w:rsid w:val="00C31914"/>
    <w:rsid w:val="00C3608A"/>
    <w:rsid w:val="00C46C95"/>
    <w:rsid w:val="00C57088"/>
    <w:rsid w:val="00C61926"/>
    <w:rsid w:val="00C87198"/>
    <w:rsid w:val="00CB144D"/>
    <w:rsid w:val="00CB6A27"/>
    <w:rsid w:val="00CC61FE"/>
    <w:rsid w:val="00CC724E"/>
    <w:rsid w:val="00CD0857"/>
    <w:rsid w:val="00CD428D"/>
    <w:rsid w:val="00CD54F4"/>
    <w:rsid w:val="00CE2FDF"/>
    <w:rsid w:val="00CF3728"/>
    <w:rsid w:val="00D065E5"/>
    <w:rsid w:val="00D14E74"/>
    <w:rsid w:val="00D16D1F"/>
    <w:rsid w:val="00D2622A"/>
    <w:rsid w:val="00D67EB6"/>
    <w:rsid w:val="00D7224E"/>
    <w:rsid w:val="00D9179E"/>
    <w:rsid w:val="00D943AE"/>
    <w:rsid w:val="00D97D1E"/>
    <w:rsid w:val="00DA01D4"/>
    <w:rsid w:val="00DA3F03"/>
    <w:rsid w:val="00DA55CD"/>
    <w:rsid w:val="00DD7F4C"/>
    <w:rsid w:val="00DE20D4"/>
    <w:rsid w:val="00DE2B67"/>
    <w:rsid w:val="00DF1C13"/>
    <w:rsid w:val="00E05222"/>
    <w:rsid w:val="00E16E83"/>
    <w:rsid w:val="00E20638"/>
    <w:rsid w:val="00E20710"/>
    <w:rsid w:val="00E21CBF"/>
    <w:rsid w:val="00E23635"/>
    <w:rsid w:val="00E25163"/>
    <w:rsid w:val="00E264D6"/>
    <w:rsid w:val="00E40A83"/>
    <w:rsid w:val="00E54FC6"/>
    <w:rsid w:val="00E71498"/>
    <w:rsid w:val="00E731F8"/>
    <w:rsid w:val="00E77962"/>
    <w:rsid w:val="00E833D0"/>
    <w:rsid w:val="00E92C71"/>
    <w:rsid w:val="00EB6203"/>
    <w:rsid w:val="00EC216A"/>
    <w:rsid w:val="00EC316C"/>
    <w:rsid w:val="00EF17ED"/>
    <w:rsid w:val="00EF496C"/>
    <w:rsid w:val="00F03BF8"/>
    <w:rsid w:val="00F048D5"/>
    <w:rsid w:val="00F1244A"/>
    <w:rsid w:val="00F152C9"/>
    <w:rsid w:val="00F2403C"/>
    <w:rsid w:val="00F244CE"/>
    <w:rsid w:val="00F36F58"/>
    <w:rsid w:val="00F64268"/>
    <w:rsid w:val="00F724DF"/>
    <w:rsid w:val="00F80736"/>
    <w:rsid w:val="00F826D5"/>
    <w:rsid w:val="00F855CC"/>
    <w:rsid w:val="00F86140"/>
    <w:rsid w:val="00F87E1C"/>
    <w:rsid w:val="00F96A39"/>
    <w:rsid w:val="00F9727B"/>
    <w:rsid w:val="00FA58F5"/>
    <w:rsid w:val="00FC1EEF"/>
    <w:rsid w:val="00FD6133"/>
    <w:rsid w:val="00FE64E8"/>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14:docId w14:val="17FA00FA"/>
  <w15:chartTrackingRefBased/>
  <w15:docId w15:val="{9E332C68-5F3E-4671-AF7C-F4E25495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E54FC6"/>
    <w:pPr>
      <w:spacing w:before="2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E54FC6"/>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basedOn w:val="Normal"/>
    <w:link w:val="ListParagraphChar"/>
    <w:uiPriority w:val="34"/>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D065E5"/>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D065E5"/>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6E5DCB"/>
    <w:pPr>
      <w:ind w:right="4668"/>
    </w:pPr>
    <w:rPr>
      <w:rFonts w:ascii="Arial" w:hAnsi="Arial"/>
      <w:sz w:val="28"/>
      <w:szCs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111FC1"/>
    <w:pPr>
      <w:pBdr>
        <w:top w:val="dotted" w:sz="6" w:space="4" w:color="auto"/>
      </w:pBdr>
    </w:pPr>
    <w:rPr>
      <w:rFonts w:ascii="Arial" w:hAnsi="Arial" w:cs="Arial"/>
      <w:caps w:val="0"/>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6E5DCB"/>
    <w:rPr>
      <w:rFonts w:ascii="Arial" w:hAnsi="Arial" w:cs="HelveticaNeueLT Std Lt"/>
      <w:color w:val="000000"/>
      <w:sz w:val="28"/>
      <w:szCs w:val="28"/>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111FC1"/>
    <w:rPr>
      <w:rFonts w:ascii="Arial" w:hAnsi="Arial" w:cs="Arial"/>
      <w:b/>
      <w:bCs/>
      <w:caps w:val="0"/>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character" w:styleId="PlaceholderText">
    <w:name w:val="Placeholder Text"/>
    <w:basedOn w:val="DefaultParagraphFont"/>
    <w:uiPriority w:val="99"/>
    <w:semiHidden/>
    <w:rsid w:val="000E47C0"/>
    <w:rPr>
      <w:color w:val="808080"/>
    </w:rPr>
  </w:style>
  <w:style w:type="character" w:customStyle="1" w:styleId="ListParagraphChar">
    <w:name w:val="List Paragraph Char"/>
    <w:basedOn w:val="DefaultParagraphFont"/>
    <w:link w:val="ListParagraph"/>
    <w:uiPriority w:val="34"/>
    <w:rsid w:val="00A80AE0"/>
    <w:rPr>
      <w:rFonts w:ascii="Arial" w:hAnsi="Arial" w:cs="Arial"/>
      <w:sz w:val="18"/>
      <w:szCs w:val="18"/>
    </w:rPr>
  </w:style>
  <w:style w:type="character" w:styleId="CommentReference">
    <w:name w:val="annotation reference"/>
    <w:basedOn w:val="DefaultParagraphFont"/>
    <w:uiPriority w:val="99"/>
    <w:semiHidden/>
    <w:unhideWhenUsed/>
    <w:rsid w:val="00A80AE0"/>
    <w:rPr>
      <w:sz w:val="16"/>
      <w:szCs w:val="16"/>
    </w:rPr>
  </w:style>
  <w:style w:type="paragraph" w:styleId="CommentText">
    <w:name w:val="annotation text"/>
    <w:basedOn w:val="Normal"/>
    <w:link w:val="CommentTextChar"/>
    <w:uiPriority w:val="99"/>
    <w:semiHidden/>
    <w:unhideWhenUsed/>
    <w:rsid w:val="00A80AE0"/>
    <w:pPr>
      <w:suppressAutoHyphens/>
      <w:spacing w:before="90" w:line="240" w:lineRule="auto"/>
    </w:pPr>
    <w:rPr>
      <w:rFonts w:cs="HelveticaNeueLT Std Cn"/>
      <w:color w:val="36424A" w:themeColor="text1"/>
      <w:sz w:val="20"/>
      <w:szCs w:val="20"/>
    </w:rPr>
  </w:style>
  <w:style w:type="character" w:customStyle="1" w:styleId="CommentTextChar">
    <w:name w:val="Comment Text Char"/>
    <w:basedOn w:val="DefaultParagraphFont"/>
    <w:link w:val="CommentText"/>
    <w:uiPriority w:val="99"/>
    <w:semiHidden/>
    <w:rsid w:val="00A80AE0"/>
    <w:rPr>
      <w:rFonts w:ascii="Arial" w:hAnsi="Arial" w:cs="HelveticaNeueLT Std Cn"/>
      <w:color w:val="36424A" w:themeColor="text1"/>
      <w:sz w:val="20"/>
      <w:szCs w:val="20"/>
    </w:rPr>
  </w:style>
  <w:style w:type="paragraph" w:styleId="CommentSubject">
    <w:name w:val="annotation subject"/>
    <w:basedOn w:val="CommentText"/>
    <w:next w:val="CommentText"/>
    <w:link w:val="CommentSubjectChar"/>
    <w:uiPriority w:val="99"/>
    <w:semiHidden/>
    <w:unhideWhenUsed/>
    <w:rsid w:val="002A3FC9"/>
    <w:pPr>
      <w:suppressAutoHyphens w:val="0"/>
      <w:spacing w:before="0"/>
    </w:pPr>
    <w:rPr>
      <w:rFonts w:cs="Arial"/>
      <w:b/>
      <w:bCs/>
      <w:color w:val="auto"/>
    </w:rPr>
  </w:style>
  <w:style w:type="character" w:customStyle="1" w:styleId="CommentSubjectChar">
    <w:name w:val="Comment Subject Char"/>
    <w:basedOn w:val="CommentTextChar"/>
    <w:link w:val="CommentSubject"/>
    <w:uiPriority w:val="99"/>
    <w:semiHidden/>
    <w:rsid w:val="002A3FC9"/>
    <w:rPr>
      <w:rFonts w:ascii="Arial" w:hAnsi="Arial" w:cs="Arial"/>
      <w:b/>
      <w:bCs/>
      <w:color w:val="36424A" w:themeColor="text1"/>
      <w:sz w:val="20"/>
      <w:szCs w:val="20"/>
    </w:rPr>
  </w:style>
  <w:style w:type="paragraph" w:styleId="Revision">
    <w:name w:val="Revision"/>
    <w:hidden/>
    <w:uiPriority w:val="99"/>
    <w:semiHidden/>
    <w:rsid w:val="008C5F94"/>
    <w:pPr>
      <w:spacing w:after="0" w:line="240" w:lineRule="auto"/>
    </w:pPr>
    <w:rPr>
      <w:rFonts w:ascii="Arial" w:hAnsi="Arial" w:cs="Arial"/>
      <w:sz w:val="18"/>
      <w:szCs w:val="18"/>
    </w:rPr>
  </w:style>
  <w:style w:type="paragraph" w:styleId="Caption">
    <w:name w:val="caption"/>
    <w:basedOn w:val="Normal"/>
    <w:next w:val="Normal"/>
    <w:uiPriority w:val="35"/>
    <w:unhideWhenUsed/>
    <w:qFormat/>
    <w:rsid w:val="00405072"/>
    <w:pPr>
      <w:pBdr>
        <w:bottom w:val="dotted" w:sz="4" w:space="2" w:color="auto"/>
      </w:pBdr>
      <w:spacing w:after="200" w:line="240" w:lineRule="auto"/>
    </w:pPr>
    <w:rPr>
      <w:b/>
      <w:iCs/>
      <w:sz w:val="16"/>
    </w:rPr>
  </w:style>
  <w:style w:type="character" w:styleId="FollowedHyperlink">
    <w:name w:val="FollowedHyperlink"/>
    <w:basedOn w:val="DefaultParagraphFont"/>
    <w:uiPriority w:val="99"/>
    <w:semiHidden/>
    <w:unhideWhenUsed/>
    <w:rsid w:val="00852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148">
      <w:bodyDiv w:val="1"/>
      <w:marLeft w:val="0"/>
      <w:marRight w:val="0"/>
      <w:marTop w:val="0"/>
      <w:marBottom w:val="0"/>
      <w:divBdr>
        <w:top w:val="none" w:sz="0" w:space="0" w:color="auto"/>
        <w:left w:val="none" w:sz="0" w:space="0" w:color="auto"/>
        <w:bottom w:val="none" w:sz="0" w:space="0" w:color="auto"/>
        <w:right w:val="none" w:sz="0" w:space="0" w:color="auto"/>
      </w:divBdr>
    </w:div>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tp://ftp.env.gov.bc.ca/pub/outgoing/AIR/Valid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EFC26FEF1554D9F227FC99DD97CAA" ma:contentTypeVersion="8" ma:contentTypeDescription="Create a new document." ma:contentTypeScope="" ma:versionID="f312acad7be80dafe7f0b11881004f61">
  <xsd:schema xmlns:xsd="http://www.w3.org/2001/XMLSchema" xmlns:xs="http://www.w3.org/2001/XMLSchema" xmlns:p="http://schemas.microsoft.com/office/2006/metadata/properties" xmlns:ns3="6a4929ec-a762-4d58-a619-6bb7891b3c40" xmlns:ns4="b3e9bec3-6534-4f71-a483-ac4f2b84822e" targetNamespace="http://schemas.microsoft.com/office/2006/metadata/properties" ma:root="true" ma:fieldsID="86328fa8e0d95358cc6e751d27c4d290" ns3:_="" ns4:_="">
    <xsd:import namespace="6a4929ec-a762-4d58-a619-6bb7891b3c40"/>
    <xsd:import namespace="b3e9bec3-6534-4f71-a483-ac4f2b8482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929ec-a762-4d58-a619-6bb7891b3c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9bec3-6534-4f71-a483-ac4f2b8482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38273-F27B-462C-95BC-AE3409D85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929ec-a762-4d58-a619-6bb7891b3c40"/>
    <ds:schemaRef ds:uri="b3e9bec3-6534-4f71-a483-ac4f2b848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B5901-930C-4E28-B2AA-2C1B9DB3F3B5}">
  <ds:schemaRefs>
    <ds:schemaRef ds:uri="http://schemas.microsoft.com/sharepoint/v3/contenttype/forms"/>
  </ds:schemaRefs>
</ds:datastoreItem>
</file>

<file path=customXml/itemProps3.xml><?xml version="1.0" encoding="utf-8"?>
<ds:datastoreItem xmlns:ds="http://schemas.openxmlformats.org/officeDocument/2006/customXml" ds:itemID="{B3C7991F-A4D8-47A9-98AF-92328BD7CBD4}">
  <ds:schemaRefs>
    <ds:schemaRef ds:uri="http://schemas.openxmlformats.org/officeDocument/2006/bibliography"/>
  </ds:schemaRefs>
</ds:datastoreItem>
</file>

<file path=customXml/itemProps4.xml><?xml version="1.0" encoding="utf-8"?>
<ds:datastoreItem xmlns:ds="http://schemas.openxmlformats.org/officeDocument/2006/customXml" ds:itemID="{8A2CB79F-83D2-4968-B492-F1758E1B710B}">
  <ds:schemaRefs>
    <ds:schemaRef ds:uri="http://schemas.openxmlformats.org/package/2006/metadata/core-properties"/>
    <ds:schemaRef ds:uri="http://purl.org/dc/elements/1.1/"/>
    <ds:schemaRef ds:uri="6a4929ec-a762-4d58-a619-6bb7891b3c40"/>
    <ds:schemaRef ds:uri="http://purl.org/dc/terms/"/>
    <ds:schemaRef ds:uri="b3e9bec3-6534-4f71-a483-ac4f2b84822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Annual Data Review - Fact Sheet</vt:lpstr>
    </vt:vector>
  </TitlesOfParts>
  <Company>GoA</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Data Review - Fact Sheet</dc:title>
  <dc:subject/>
  <dc:creator>Casandra Brown</dc:creator>
  <cp:keywords/>
  <dc:description/>
  <cp:lastModifiedBy>Lily Lin</cp:lastModifiedBy>
  <cp:revision>3</cp:revision>
  <cp:lastPrinted>2020-03-13T14:13:00Z</cp:lastPrinted>
  <dcterms:created xsi:type="dcterms:W3CDTF">2021-11-18T22:09:00Z</dcterms:created>
  <dcterms:modified xsi:type="dcterms:W3CDTF">2022-01-30T03:10:00Z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0x01010066FEFC26FEF1554D9F227FC99DD97CAA</vt:lpwstr>
  </property>
  <property fmtid="{D5CDD505-2E9C-101B-9397-08002B2CF9AE}" pid="23" name="MSIP_Label_abf2ea38-542c-4b75-bd7d-582ec36a519f_Enabled">
    <vt:lpwstr>true</vt:lpwstr>
  </property>
  <property fmtid="{D5CDD505-2E9C-101B-9397-08002B2CF9AE}" pid="24" name="MSIP_Label_abf2ea38-542c-4b75-bd7d-582ec36a519f_SetDate">
    <vt:lpwstr>2021-11-16T15:49:10Z</vt:lpwstr>
  </property>
  <property fmtid="{D5CDD505-2E9C-101B-9397-08002B2CF9AE}" pid="25" name="MSIP_Label_abf2ea38-542c-4b75-bd7d-582ec36a519f_Method">
    <vt:lpwstr>Privileged</vt:lpwstr>
  </property>
  <property fmtid="{D5CDD505-2E9C-101B-9397-08002B2CF9AE}" pid="26" name="MSIP_Label_abf2ea38-542c-4b75-bd7d-582ec36a519f_Name">
    <vt:lpwstr>Protected A</vt:lpwstr>
  </property>
  <property fmtid="{D5CDD505-2E9C-101B-9397-08002B2CF9AE}" pid="27" name="MSIP_Label_abf2ea38-542c-4b75-bd7d-582ec36a519f_SiteId">
    <vt:lpwstr>2bb51c06-af9b-42c5-8bf5-3c3b7b10850b</vt:lpwstr>
  </property>
  <property fmtid="{D5CDD505-2E9C-101B-9397-08002B2CF9AE}" pid="28" name="MSIP_Label_abf2ea38-542c-4b75-bd7d-582ec36a519f_ActionId">
    <vt:lpwstr>9d168d44-b5a9-453b-a2c6-96c2d964bb6e</vt:lpwstr>
  </property>
  <property fmtid="{D5CDD505-2E9C-101B-9397-08002B2CF9AE}" pid="29" name="MSIP_Label_abf2ea38-542c-4b75-bd7d-582ec36a519f_ContentBits">
    <vt:lpwstr>2</vt:lpwstr>
  </property>
</Properties>
</file>