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4EFF" w14:textId="77777777" w:rsidR="008F55CB" w:rsidRDefault="008F55CB"/>
    <w:p w14:paraId="1100305A" w14:textId="7BCFD1CA" w:rsidR="001008C7" w:rsidRDefault="008F55CB" w:rsidP="008F55C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F4F61" wp14:editId="2B3175F9">
            <wp:simplePos x="0" y="0"/>
            <wp:positionH relativeFrom="margin">
              <wp:posOffset>1832030</wp:posOffset>
            </wp:positionH>
            <wp:positionV relativeFrom="margin">
              <wp:posOffset>-747423</wp:posOffset>
            </wp:positionV>
            <wp:extent cx="2334895" cy="81089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Peace River Area Monitoring Program (PRAMP) Committee</w:t>
      </w:r>
    </w:p>
    <w:p w14:paraId="6EB02E29" w14:textId="26540E4A" w:rsidR="008F55CB" w:rsidRDefault="008F55CB" w:rsidP="008F55CB">
      <w:pPr>
        <w:jc w:val="center"/>
      </w:pPr>
      <w:r>
        <w:t>Technical Working Group Meeting</w:t>
      </w:r>
    </w:p>
    <w:p w14:paraId="01B5006F" w14:textId="17DE43BF" w:rsidR="008F55CB" w:rsidRDefault="008F55CB" w:rsidP="008F55CB">
      <w:pPr>
        <w:jc w:val="center"/>
      </w:pPr>
    </w:p>
    <w:p w14:paraId="65935FD7" w14:textId="58857202" w:rsidR="00A17557" w:rsidRDefault="0091091E" w:rsidP="008F55CB">
      <w:pPr>
        <w:jc w:val="center"/>
      </w:pPr>
      <w:r>
        <w:t>April 15, 2021</w:t>
      </w:r>
    </w:p>
    <w:p w14:paraId="3461BD20" w14:textId="0A9305DD" w:rsidR="000628EF" w:rsidRDefault="009775FB" w:rsidP="008F55CB">
      <w:pPr>
        <w:jc w:val="center"/>
      </w:pPr>
      <w:r>
        <w:t>Zoom Video Conference</w:t>
      </w:r>
    </w:p>
    <w:p w14:paraId="62E8E4A6" w14:textId="25592E35" w:rsidR="008F55CB" w:rsidRDefault="008F55CB" w:rsidP="008F55CB">
      <w:pPr>
        <w:pStyle w:val="Heading1"/>
      </w:pPr>
      <w:r>
        <w:t>Meeting Notes</w:t>
      </w:r>
    </w:p>
    <w:p w14:paraId="694E6AC3" w14:textId="27DD4C96" w:rsidR="008F55CB" w:rsidRDefault="008F55CB" w:rsidP="008F55CB">
      <w:pPr>
        <w:ind w:left="994"/>
      </w:pPr>
      <w:r>
        <w:t>Attendees:</w:t>
      </w:r>
    </w:p>
    <w:tbl>
      <w:tblPr>
        <w:tblW w:w="8636" w:type="dxa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1069"/>
        <w:gridCol w:w="2854"/>
        <w:gridCol w:w="1529"/>
      </w:tblGrid>
      <w:tr w:rsidR="008F55CB" w14:paraId="1D3B878E" w14:textId="77777777" w:rsidTr="005A5FB4">
        <w:trPr>
          <w:trHeight w:val="440"/>
        </w:trPr>
        <w:tc>
          <w:tcPr>
            <w:tcW w:w="3184" w:type="dxa"/>
            <w:tcBorders>
              <w:bottom w:val="single" w:sz="6" w:space="0" w:color="000000"/>
            </w:tcBorders>
            <w:shd w:val="clear" w:color="auto" w:fill="D9D9D9"/>
          </w:tcPr>
          <w:p w14:paraId="7B6D8238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  <w:shd w:val="clear" w:color="auto" w:fill="D9D9D9"/>
          </w:tcPr>
          <w:p w14:paraId="3329A1FE" w14:textId="77777777" w:rsidR="008F55CB" w:rsidRPr="008F55CB" w:rsidRDefault="008F55CB" w:rsidP="00BC0188">
            <w:pPr>
              <w:pStyle w:val="TableParagraph"/>
              <w:spacing w:before="78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  <w:w w:val="95"/>
              </w:rPr>
              <w:t xml:space="preserve">Sector </w:t>
            </w:r>
            <w:r w:rsidRPr="008F55CB">
              <w:rPr>
                <w:rFonts w:asciiTheme="minorHAnsi" w:hAnsiTheme="minorHAnsi" w:cstheme="minorHAnsi"/>
                <w:b/>
              </w:rPr>
              <w:t>Group</w:t>
            </w:r>
          </w:p>
        </w:tc>
        <w:tc>
          <w:tcPr>
            <w:tcW w:w="2854" w:type="dxa"/>
            <w:tcBorders>
              <w:bottom w:val="single" w:sz="6" w:space="0" w:color="000000"/>
            </w:tcBorders>
            <w:shd w:val="clear" w:color="auto" w:fill="D9D9D9"/>
          </w:tcPr>
          <w:p w14:paraId="5F386CA8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D9D9D9"/>
          </w:tcPr>
          <w:p w14:paraId="12AD4BA4" w14:textId="77777777" w:rsidR="008F55CB" w:rsidRPr="008F55CB" w:rsidRDefault="008F55CB" w:rsidP="00BC0188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Participation</w:t>
            </w:r>
          </w:p>
        </w:tc>
      </w:tr>
      <w:tr w:rsidR="000628EF" w14:paraId="776A9217" w14:textId="77777777" w:rsidTr="005A5FB4">
        <w:trPr>
          <w:trHeight w:val="34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0FCC162D" w14:textId="378DE758" w:rsidR="000628EF" w:rsidRPr="00A32505" w:rsidRDefault="000628EF" w:rsidP="000628EF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  <w:i/>
              </w:rPr>
            </w:pPr>
            <w:r w:rsidRPr="00A32505">
              <w:rPr>
                <w:rFonts w:asciiTheme="minorHAnsi" w:hAnsiTheme="minorHAnsi" w:cstheme="minorHAnsi"/>
              </w:rPr>
              <w:t>Doug Dallyn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237B69AE" w14:textId="59F0E359" w:rsidR="000628EF" w:rsidRPr="00BF2C7A" w:rsidRDefault="000628EF" w:rsidP="000628EF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50920DEE" w14:textId="77777777" w:rsidR="000628EF" w:rsidRPr="00BF2C7A" w:rsidRDefault="000628EF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0E2D3583" w14:textId="094EB902" w:rsidR="000628EF" w:rsidRPr="008F55CB" w:rsidRDefault="000628EF" w:rsidP="000628EF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</w:p>
        </w:tc>
      </w:tr>
      <w:tr w:rsidR="000628EF" w14:paraId="6B1B010C" w14:textId="77777777" w:rsidTr="005A5FB4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07D8602" w14:textId="77777777" w:rsidR="000628EF" w:rsidRPr="00A32505" w:rsidRDefault="000628EF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A8ABF5C" w14:textId="77777777" w:rsidR="000628EF" w:rsidRPr="00BF2C7A" w:rsidRDefault="000628EF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DC14F3" w14:textId="77777777" w:rsidR="000628EF" w:rsidRPr="00BF2C7A" w:rsidRDefault="000628EF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11C70A9" w14:textId="77777777" w:rsidR="000628EF" w:rsidRPr="008F55CB" w:rsidRDefault="000628EF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628EF" w14:paraId="1358EA68" w14:textId="77777777" w:rsidTr="000628EF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041ABB" w14:textId="5389FAE8" w:rsidR="000628EF" w:rsidRPr="00A32505" w:rsidRDefault="000628EF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32505">
              <w:rPr>
                <w:rFonts w:asciiTheme="minorHAnsi" w:hAnsiTheme="minorHAnsi" w:cstheme="minorHAnsi"/>
              </w:rPr>
              <w:t xml:space="preserve">Anthony Traverse 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8224AA" w14:textId="6F6B77D6" w:rsidR="000628EF" w:rsidRPr="00BF2C7A" w:rsidRDefault="000628EF" w:rsidP="000347C6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C57875" w14:textId="08E1399E" w:rsidR="000628EF" w:rsidRPr="00BF2C7A" w:rsidRDefault="000628EF" w:rsidP="000347C6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Baytex Energy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AAED29" w14:textId="436C1307" w:rsidR="000628EF" w:rsidRPr="00BF2C7A" w:rsidRDefault="000628EF" w:rsidP="000628E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Director</w:t>
            </w:r>
          </w:p>
        </w:tc>
      </w:tr>
      <w:tr w:rsidR="00BF2C7A" w14:paraId="296EF5F4" w14:textId="77777777" w:rsidTr="005A5FB4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D538F3C" w14:textId="77777777" w:rsidR="00BF2C7A" w:rsidRPr="00A32505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AAF187" w14:textId="77777777" w:rsidR="00BF2C7A" w:rsidRPr="00BF2C7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E007DEA" w14:textId="77777777" w:rsidR="00BF2C7A" w:rsidRPr="00BF2C7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EB6AD9" w14:textId="77777777" w:rsidR="00BF2C7A" w:rsidRPr="00BF2C7A" w:rsidRDefault="00BF2C7A" w:rsidP="00BF2C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70D20" w14:paraId="7880EAC0" w14:textId="77777777" w:rsidTr="005A5FB4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6AFA27E3" w14:textId="7E269634" w:rsidR="00570D20" w:rsidRPr="00A32505" w:rsidRDefault="00570D20" w:rsidP="00570D2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A32505">
              <w:rPr>
                <w:rFonts w:asciiTheme="minorHAnsi" w:hAnsiTheme="minorHAnsi" w:cstheme="minorHAnsi"/>
              </w:rPr>
              <w:t>Krista Park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19D925B4" w14:textId="7A09580D" w:rsidR="00570D20" w:rsidRPr="00BF2C7A" w:rsidRDefault="00570D20" w:rsidP="00570D20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A883625" w14:textId="07E96BA3" w:rsidR="00570D20" w:rsidRPr="00BF2C7A" w:rsidRDefault="00570D20" w:rsidP="00570D2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AHS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691F56C" w14:textId="5A7F9146" w:rsidR="00570D20" w:rsidRPr="00BF2C7A" w:rsidRDefault="00570D20" w:rsidP="00570D2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Director</w:t>
            </w:r>
          </w:p>
        </w:tc>
      </w:tr>
      <w:tr w:rsidR="0059115E" w14:paraId="47BE88EC" w14:textId="77777777" w:rsidTr="005A5FB4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7066B464" w14:textId="1CA91F70" w:rsidR="0059115E" w:rsidRPr="00A32505" w:rsidRDefault="0059115E" w:rsidP="00570D2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A32505">
              <w:rPr>
                <w:rFonts w:asciiTheme="minorHAnsi" w:hAnsiTheme="minorHAnsi" w:cstheme="minorHAnsi"/>
              </w:rPr>
              <w:t>Laurie Cherp</w:t>
            </w:r>
            <w:r w:rsidR="00095650" w:rsidRPr="00A32505">
              <w:rPr>
                <w:rFonts w:asciiTheme="minorHAnsi" w:hAnsiTheme="minorHAnsi" w:cstheme="minorHAnsi"/>
              </w:rPr>
              <w:t>er</w:t>
            </w:r>
            <w:r w:rsidRPr="00A32505">
              <w:rPr>
                <w:rFonts w:asciiTheme="minorHAnsi" w:hAnsiTheme="minorHAnsi" w:cstheme="minorHAnsi"/>
              </w:rPr>
              <w:t>dak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2F2354FE" w14:textId="714EA96C" w:rsidR="0059115E" w:rsidRDefault="0059115E" w:rsidP="00570D20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79806711" w14:textId="283DF4DD" w:rsidR="0059115E" w:rsidRDefault="0059115E" w:rsidP="00570D2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AHS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4DFEEC5D" w14:textId="15619716" w:rsidR="0059115E" w:rsidRDefault="0059115E" w:rsidP="00570D2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03356F" w14:paraId="4EE61322" w14:textId="77777777" w:rsidTr="005A5FB4">
        <w:trPr>
          <w:trHeight w:val="138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292B3FF6" w14:textId="0288A4A3" w:rsidR="0003356F" w:rsidRPr="00A32505" w:rsidRDefault="0003356F" w:rsidP="00570D2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A32505">
              <w:rPr>
                <w:rFonts w:asciiTheme="minorHAnsi" w:hAnsiTheme="minorHAnsi" w:cstheme="minorHAnsi"/>
              </w:rPr>
              <w:t>Madhan Selvaraj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7B41872C" w14:textId="633EAA1B" w:rsidR="0003356F" w:rsidRDefault="0003356F" w:rsidP="00570D20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1BEB95C7" w14:textId="34B8DBA0" w:rsidR="0003356F" w:rsidRDefault="0003356F" w:rsidP="00570D2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AEP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37DDB142" w14:textId="577A62EC" w:rsidR="0003356F" w:rsidRDefault="0003356F" w:rsidP="00570D2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570D20" w14:paraId="2528FDB4" w14:textId="77777777" w:rsidTr="005A5FB4">
        <w:trPr>
          <w:trHeight w:val="16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4BAC2A3" w14:textId="77777777" w:rsidR="00570D20" w:rsidRPr="00A32505" w:rsidRDefault="00570D20" w:rsidP="00570D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BC99680" w14:textId="77777777" w:rsidR="00570D20" w:rsidRPr="00BF2C7A" w:rsidRDefault="00570D20" w:rsidP="00570D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F9F5137" w14:textId="77777777" w:rsidR="00570D20" w:rsidRPr="00BF2C7A" w:rsidRDefault="00570D20" w:rsidP="00570D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DFB84F9" w14:textId="77777777" w:rsidR="00570D20" w:rsidRPr="008F55CB" w:rsidRDefault="00570D20" w:rsidP="00570D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70D20" w14:paraId="39F99D0A" w14:textId="77777777" w:rsidTr="005A5FB4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6AE79D82" w14:textId="35B71329" w:rsidR="00570D20" w:rsidRPr="00A32505" w:rsidRDefault="00570D20" w:rsidP="00570D20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A32505">
              <w:rPr>
                <w:rFonts w:asciiTheme="minorHAnsi" w:hAnsiTheme="minorHAnsi" w:cstheme="minorHAnsi"/>
              </w:rPr>
              <w:t>Karla Reesor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52927F09" w14:textId="77777777" w:rsidR="00570D20" w:rsidRPr="00BF2C7A" w:rsidRDefault="00570D20" w:rsidP="00570D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59204B05" w14:textId="41792584" w:rsidR="00570D20" w:rsidRPr="00BF2C7A" w:rsidRDefault="00570D20" w:rsidP="00570D20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Executive Director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46EAD4FC" w14:textId="77777777" w:rsidR="00570D20" w:rsidRPr="008F55CB" w:rsidRDefault="00570D20" w:rsidP="00570D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70D20" w14:paraId="0754B20A" w14:textId="77777777" w:rsidTr="005A5FB4">
        <w:trPr>
          <w:trHeight w:val="17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41B3FC4E" w14:textId="77777777" w:rsidR="00570D20" w:rsidRPr="00A32505" w:rsidRDefault="00570D20" w:rsidP="00570D20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A32505">
              <w:rPr>
                <w:rFonts w:asciiTheme="minorHAnsi" w:hAnsiTheme="minorHAnsi" w:cstheme="minorHAnsi"/>
              </w:rPr>
              <w:t>Mike Bisaga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30E30A30" w14:textId="77777777" w:rsidR="00570D20" w:rsidRPr="00BF2C7A" w:rsidRDefault="00570D20" w:rsidP="00570D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110AA2B7" w14:textId="77777777" w:rsidR="00570D20" w:rsidRPr="00BF2C7A" w:rsidRDefault="00570D20" w:rsidP="00570D20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Technical Program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601100B3" w14:textId="77777777" w:rsidR="00570D20" w:rsidRPr="008F55CB" w:rsidRDefault="00570D20" w:rsidP="00570D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70D20" w14:paraId="36270F13" w14:textId="77777777" w:rsidTr="005A5FB4">
        <w:trPr>
          <w:trHeight w:val="84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573EE965" w14:textId="77777777" w:rsidR="00570D20" w:rsidRPr="00A32505" w:rsidRDefault="00570D20" w:rsidP="00570D2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A32505">
              <w:rPr>
                <w:rFonts w:asciiTheme="minorHAnsi" w:hAnsiTheme="minorHAnsi" w:cstheme="minorHAnsi"/>
              </w:rPr>
              <w:t>Lily Lin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238CB7A3" w14:textId="77777777" w:rsidR="00570D20" w:rsidRPr="00BF2C7A" w:rsidRDefault="00570D20" w:rsidP="00570D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686DA9ED" w14:textId="77777777" w:rsidR="00570D20" w:rsidRPr="00BF2C7A" w:rsidRDefault="00570D20" w:rsidP="00570D2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Technical Program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521CCE66" w14:textId="77777777" w:rsidR="00570D20" w:rsidRPr="008F55CB" w:rsidRDefault="00570D20" w:rsidP="00570D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70D20" w14:paraId="251BE951" w14:textId="77777777" w:rsidTr="005A5FB4">
        <w:trPr>
          <w:trHeight w:val="93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137A1496" w14:textId="77777777" w:rsidR="00570D20" w:rsidRPr="00A32505" w:rsidRDefault="00570D20" w:rsidP="00570D2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A32505">
              <w:rPr>
                <w:rFonts w:asciiTheme="minorHAnsi" w:hAnsiTheme="minorHAnsi" w:cstheme="minorHAnsi"/>
              </w:rPr>
              <w:t>Brenda Barber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4D74794F" w14:textId="77777777" w:rsidR="00570D20" w:rsidRPr="00BF2C7A" w:rsidRDefault="00570D20" w:rsidP="00570D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85EBC18" w14:textId="77777777" w:rsidR="00570D20" w:rsidRPr="00BF2C7A" w:rsidRDefault="00570D20" w:rsidP="00570D2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Office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3562A9E1" w14:textId="77777777" w:rsidR="00570D20" w:rsidRPr="008F55CB" w:rsidRDefault="00570D20" w:rsidP="00570D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70D20" w14:paraId="5FAE7357" w14:textId="77777777" w:rsidTr="005A5FB4">
        <w:trPr>
          <w:trHeight w:val="93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04F4CA8A" w14:textId="70FA0773" w:rsidR="00570D20" w:rsidRPr="00A32505" w:rsidRDefault="0059115E" w:rsidP="00570D2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A32505">
              <w:rPr>
                <w:rFonts w:asciiTheme="minorHAnsi" w:hAnsiTheme="minorHAnsi" w:cstheme="minorHAnsi"/>
              </w:rPr>
              <w:t>Dwayne Stepaniuk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3E0ACBA0" w14:textId="2E50FA64" w:rsidR="00570D20" w:rsidRPr="00FE418A" w:rsidRDefault="00570D20" w:rsidP="00570D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F329B82" w14:textId="56772A59" w:rsidR="00570D20" w:rsidRPr="00FE418A" w:rsidRDefault="00691523" w:rsidP="00570D20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Field Technician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38490AA" w14:textId="77777777" w:rsidR="00570D20" w:rsidRPr="008F55CB" w:rsidRDefault="00570D20" w:rsidP="00570D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FCFDF78" w14:textId="723C3184" w:rsidR="008F55CB" w:rsidRDefault="008F55CB" w:rsidP="008F55CB">
      <w:pPr>
        <w:ind w:left="907"/>
      </w:pPr>
      <w:r>
        <w:t>Regrets:</w:t>
      </w:r>
    </w:p>
    <w:tbl>
      <w:tblPr>
        <w:tblW w:w="8636" w:type="dxa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1069"/>
        <w:gridCol w:w="2854"/>
        <w:gridCol w:w="1529"/>
      </w:tblGrid>
      <w:tr w:rsidR="008F55CB" w14:paraId="6B98A378" w14:textId="77777777" w:rsidTr="005A5FB4">
        <w:trPr>
          <w:trHeight w:val="610"/>
        </w:trPr>
        <w:tc>
          <w:tcPr>
            <w:tcW w:w="3184" w:type="dxa"/>
            <w:tcBorders>
              <w:bottom w:val="single" w:sz="6" w:space="0" w:color="000000"/>
            </w:tcBorders>
            <w:shd w:val="clear" w:color="auto" w:fill="D9D9D9"/>
          </w:tcPr>
          <w:p w14:paraId="27FB647D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  <w:shd w:val="clear" w:color="auto" w:fill="D9D9D9"/>
          </w:tcPr>
          <w:p w14:paraId="724ADB29" w14:textId="77777777" w:rsidR="008F55CB" w:rsidRPr="008F55CB" w:rsidRDefault="008F55CB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  <w:w w:val="95"/>
              </w:rPr>
              <w:t xml:space="preserve">Sector </w:t>
            </w:r>
            <w:r w:rsidRPr="008F55CB">
              <w:rPr>
                <w:rFonts w:asciiTheme="minorHAnsi" w:hAnsiTheme="minorHAnsi" w:cstheme="minorHAnsi"/>
                <w:b/>
              </w:rPr>
              <w:t>Group</w:t>
            </w:r>
          </w:p>
        </w:tc>
        <w:tc>
          <w:tcPr>
            <w:tcW w:w="2854" w:type="dxa"/>
            <w:tcBorders>
              <w:bottom w:val="single" w:sz="6" w:space="0" w:color="000000"/>
            </w:tcBorders>
            <w:shd w:val="clear" w:color="auto" w:fill="D9D9D9"/>
          </w:tcPr>
          <w:p w14:paraId="3CC6A63C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D9D9D9"/>
          </w:tcPr>
          <w:p w14:paraId="2BE42CD5" w14:textId="77777777" w:rsidR="008F55CB" w:rsidRPr="008F55CB" w:rsidRDefault="008F55CB" w:rsidP="00BC0188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Participation</w:t>
            </w:r>
          </w:p>
        </w:tc>
      </w:tr>
      <w:tr w:rsidR="000628EF" w14:paraId="60B21FA7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1CC4F1F1" w14:textId="79AB4BAB" w:rsidR="000628EF" w:rsidRPr="00D97F9D" w:rsidRDefault="000628EF" w:rsidP="000628EF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D97F9D">
              <w:rPr>
                <w:rFonts w:asciiTheme="minorHAnsi" w:hAnsiTheme="minorHAnsi" w:cstheme="minorHAnsi"/>
              </w:rPr>
              <w:t>Garrett Tomlinson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4A826C0A" w14:textId="3B82D356" w:rsidR="000628EF" w:rsidRPr="008F55CB" w:rsidRDefault="000628EF" w:rsidP="000628EF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8778C09" w14:textId="24F25998" w:rsidR="000628EF" w:rsidRDefault="000628EF" w:rsidP="000628EF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Metis Nation, Region 6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6D43E4EC" w14:textId="0063DD69" w:rsidR="000628EF" w:rsidRPr="008F55CB" w:rsidRDefault="000628EF" w:rsidP="000628EF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  <w:tr w:rsidR="00746754" w14:paraId="1BF6A50C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2D7CB78A" w14:textId="58DB6ED7" w:rsidR="00746754" w:rsidRDefault="00746754" w:rsidP="00746754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Elvis Thomas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2499F231" w14:textId="753800E7" w:rsidR="00746754" w:rsidRDefault="00746754" w:rsidP="00746754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40ECF919" w14:textId="008783C0" w:rsidR="00746754" w:rsidRDefault="00746754" w:rsidP="00746754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FE418A">
              <w:rPr>
                <w:rFonts w:asciiTheme="minorHAnsi" w:hAnsiTheme="minorHAnsi" w:cstheme="minorHAnsi"/>
              </w:rPr>
              <w:t>Woodland Cree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5E1D0FDE" w14:textId="69D60A87" w:rsidR="00746754" w:rsidRDefault="00746754" w:rsidP="00746754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</w:p>
        </w:tc>
      </w:tr>
      <w:tr w:rsidR="007F2961" w14:paraId="4CFFCE66" w14:textId="77777777" w:rsidTr="005A5FB4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</w:tcPr>
          <w:p w14:paraId="786BFAF0" w14:textId="6A77C159" w:rsidR="007F2961" w:rsidRPr="00FE418A" w:rsidRDefault="007F2961" w:rsidP="007F2961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691523">
              <w:rPr>
                <w:rFonts w:asciiTheme="minorHAnsi" w:hAnsiTheme="minorHAnsi" w:cstheme="minorHAnsi"/>
              </w:rPr>
              <w:t>Gaylene Whitehead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</w:tcPr>
          <w:p w14:paraId="6186D2FB" w14:textId="0F416B4C" w:rsidR="007F2961" w:rsidRPr="00FE418A" w:rsidRDefault="007F2961" w:rsidP="007F2961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C58C286" w14:textId="5BBDEEAA" w:rsidR="007F2961" w:rsidRPr="00FE418A" w:rsidRDefault="007F2961" w:rsidP="007F2961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Northern Sunrise County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442B5244" w14:textId="2079E878" w:rsidR="007F2961" w:rsidRDefault="007F2961" w:rsidP="007F2961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</w:p>
        </w:tc>
      </w:tr>
      <w:tr w:rsidR="007F2961" w14:paraId="7B109FEA" w14:textId="77777777" w:rsidTr="00B4645F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060897" w14:textId="1C7CC0BF" w:rsidR="007F2961" w:rsidRPr="00BF2C7A" w:rsidRDefault="007F2961" w:rsidP="007F2961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691523">
              <w:rPr>
                <w:rFonts w:asciiTheme="minorHAnsi" w:hAnsiTheme="minorHAnsi" w:cstheme="minorHAnsi"/>
              </w:rPr>
              <w:t>Matt Flette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84537C" w14:textId="77777777" w:rsidR="007F2961" w:rsidRPr="00BF2C7A" w:rsidRDefault="007F2961" w:rsidP="007F2961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839298" w14:textId="78FB272B" w:rsidR="007F2961" w:rsidRPr="00BF2C7A" w:rsidRDefault="007F2961" w:rsidP="007F2961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CNRL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9B7CD4" w14:textId="561A8DE9" w:rsidR="007F2961" w:rsidRPr="00BF2C7A" w:rsidRDefault="007F2961" w:rsidP="007F2961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Director</w:t>
            </w:r>
          </w:p>
        </w:tc>
      </w:tr>
      <w:tr w:rsidR="007F2961" w14:paraId="5A60A872" w14:textId="77777777" w:rsidTr="00B4645F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683C5A" w14:textId="51139D8B" w:rsidR="007F2961" w:rsidRPr="00746754" w:rsidRDefault="007F2961" w:rsidP="007F2961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Blair Fortin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E048F9" w14:textId="788FB156" w:rsidR="007F2961" w:rsidRPr="00746754" w:rsidRDefault="007F2961" w:rsidP="007F2961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5C5118" w14:textId="3B933A43" w:rsidR="007F2961" w:rsidRPr="00746754" w:rsidRDefault="007F2961" w:rsidP="007F2961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Trevita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A0015B" w14:textId="1A2EE64C" w:rsidR="007F2961" w:rsidRPr="008F55CB" w:rsidRDefault="007F2961" w:rsidP="007F2961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BF2C7A">
              <w:rPr>
                <w:rFonts w:asciiTheme="minorHAnsi" w:hAnsiTheme="minorHAnsi" w:cstheme="minorHAnsi"/>
              </w:rPr>
              <w:t>Member</w:t>
            </w:r>
          </w:p>
        </w:tc>
      </w:tr>
      <w:tr w:rsidR="007F2961" w14:paraId="722F3511" w14:textId="77777777" w:rsidTr="00B4645F">
        <w:trPr>
          <w:trHeight w:val="385"/>
        </w:trPr>
        <w:tc>
          <w:tcPr>
            <w:tcW w:w="3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D8F8BF" w14:textId="1B0C5A3E" w:rsidR="007F2961" w:rsidRPr="00BF2C7A" w:rsidRDefault="007F2961" w:rsidP="007F2961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691523">
              <w:rPr>
                <w:rFonts w:asciiTheme="minorHAnsi" w:hAnsiTheme="minorHAnsi" w:cstheme="minorHAnsi"/>
              </w:rPr>
              <w:t>Hanna Liu</w:t>
            </w:r>
          </w:p>
        </w:tc>
        <w:tc>
          <w:tcPr>
            <w:tcW w:w="1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CB6EFC" w14:textId="43EEAA9B" w:rsidR="007F2961" w:rsidRPr="00BF2C7A" w:rsidRDefault="007F2961" w:rsidP="007F2961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6D8AD8" w14:textId="3613CAFC" w:rsidR="007F2961" w:rsidRPr="00BF2C7A" w:rsidRDefault="007F2961" w:rsidP="007F2961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745D62" w14:textId="305EF4BF" w:rsidR="007F2961" w:rsidRPr="00BF2C7A" w:rsidRDefault="007F2961" w:rsidP="007F2961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</w:tbl>
    <w:p w14:paraId="76F7F740" w14:textId="77777777" w:rsidR="008F55CB" w:rsidRDefault="008F55CB" w:rsidP="008F55CB">
      <w:pPr>
        <w:spacing w:before="178"/>
        <w:rPr>
          <w:b/>
          <w:i/>
        </w:rPr>
      </w:pPr>
      <w:r>
        <w:rPr>
          <w:b/>
          <w:i/>
        </w:rPr>
        <w:t>These notes are provided as a summary of discussions of the PRAMP Technical Working Group. The views and ideas noted do not necessarily reflect the perspective of each Committee member. Decisions are taken by consensus.</w:t>
      </w:r>
    </w:p>
    <w:p w14:paraId="0FCD3718" w14:textId="77777777" w:rsidR="00F863A7" w:rsidRDefault="00F863A7" w:rsidP="008F55CB"/>
    <w:p w14:paraId="1BB61B3A" w14:textId="093ACDCB" w:rsidR="003837B6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1.</w:t>
      </w:r>
      <w:r w:rsidR="0036022F">
        <w:rPr>
          <w:b/>
          <w:color w:val="2F5496" w:themeColor="accent1" w:themeShade="BF"/>
          <w:sz w:val="24"/>
          <w:szCs w:val="24"/>
        </w:rPr>
        <w:t>1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3837B6" w:rsidRPr="00E114DE">
        <w:rPr>
          <w:b/>
          <w:color w:val="2F5496" w:themeColor="accent1" w:themeShade="BF"/>
          <w:sz w:val="24"/>
          <w:szCs w:val="24"/>
        </w:rPr>
        <w:t>Approve Agenda</w:t>
      </w:r>
    </w:p>
    <w:p w14:paraId="72A32C14" w14:textId="3F9DD5AB" w:rsidR="00CA1FB7" w:rsidRPr="00CA1FB7" w:rsidRDefault="00476BA2" w:rsidP="005A4CC3">
      <w:pPr>
        <w:spacing w:after="60"/>
        <w:rPr>
          <w:b/>
        </w:rPr>
      </w:pPr>
      <w:r>
        <w:rPr>
          <w:b/>
        </w:rPr>
        <w:t>No additions to the Agenda</w:t>
      </w:r>
    </w:p>
    <w:p w14:paraId="40788040" w14:textId="7D2265C3" w:rsidR="003837B6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lastRenderedPageBreak/>
        <w:t>1.</w:t>
      </w:r>
      <w:r w:rsidR="0036022F">
        <w:rPr>
          <w:b/>
          <w:color w:val="2F5496" w:themeColor="accent1" w:themeShade="BF"/>
          <w:sz w:val="24"/>
          <w:szCs w:val="24"/>
        </w:rPr>
        <w:t>2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3837B6" w:rsidRPr="00E114DE">
        <w:rPr>
          <w:b/>
          <w:color w:val="2F5496" w:themeColor="accent1" w:themeShade="BF"/>
          <w:sz w:val="24"/>
          <w:szCs w:val="24"/>
        </w:rPr>
        <w:t>Approval of Minutes</w:t>
      </w:r>
    </w:p>
    <w:p w14:paraId="6134E08F" w14:textId="0A389FC5" w:rsidR="007C27C6" w:rsidRPr="007C27C6" w:rsidRDefault="007C27C6" w:rsidP="005A4CC3">
      <w:pPr>
        <w:pStyle w:val="ListParagraph"/>
        <w:spacing w:after="60"/>
        <w:ind w:left="0"/>
        <w:contextualSpacing w:val="0"/>
        <w:rPr>
          <w:i/>
        </w:rPr>
      </w:pPr>
      <w:r w:rsidRPr="007C27C6">
        <w:rPr>
          <w:i/>
        </w:rPr>
        <w:t>Minutes were provided prior to the meeting.</w:t>
      </w:r>
    </w:p>
    <w:p w14:paraId="40A850C5" w14:textId="26E92EC7" w:rsidR="007C27C6" w:rsidRDefault="007C27C6" w:rsidP="005A4CC3">
      <w:pPr>
        <w:spacing w:after="60"/>
        <w:ind w:left="360"/>
        <w:rPr>
          <w:b/>
        </w:rPr>
      </w:pPr>
      <w:r>
        <w:rPr>
          <w:b/>
        </w:rPr>
        <w:t xml:space="preserve">Motion to approve the </w:t>
      </w:r>
      <w:r w:rsidR="00476BA2">
        <w:rPr>
          <w:b/>
        </w:rPr>
        <w:t>December 16, 2020</w:t>
      </w:r>
      <w:r w:rsidR="009775FB">
        <w:rPr>
          <w:b/>
        </w:rPr>
        <w:t xml:space="preserve"> </w:t>
      </w:r>
      <w:r w:rsidR="001F0509">
        <w:rPr>
          <w:b/>
        </w:rPr>
        <w:t>Minutes by</w:t>
      </w:r>
      <w:r w:rsidR="00476BA2">
        <w:rPr>
          <w:b/>
        </w:rPr>
        <w:t xml:space="preserve"> Krista Park</w:t>
      </w:r>
      <w:r w:rsidR="003F615F">
        <w:rPr>
          <w:b/>
        </w:rPr>
        <w:t>. No blocks</w:t>
      </w:r>
    </w:p>
    <w:p w14:paraId="7D3C3F2B" w14:textId="3C9023C7" w:rsidR="007C27C6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1.</w:t>
      </w:r>
      <w:r w:rsidR="0036022F">
        <w:rPr>
          <w:b/>
          <w:color w:val="2F5496" w:themeColor="accent1" w:themeShade="BF"/>
          <w:sz w:val="24"/>
          <w:szCs w:val="24"/>
        </w:rPr>
        <w:t>3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7C27C6" w:rsidRPr="00E114DE">
        <w:rPr>
          <w:b/>
          <w:color w:val="2F5496" w:themeColor="accent1" w:themeShade="BF"/>
          <w:sz w:val="24"/>
          <w:szCs w:val="24"/>
        </w:rPr>
        <w:t>Action Items</w:t>
      </w:r>
    </w:p>
    <w:p w14:paraId="3FC21A77" w14:textId="674895A0" w:rsidR="009775FB" w:rsidRPr="003F615F" w:rsidRDefault="00476BA2" w:rsidP="00C960B7">
      <w:pPr>
        <w:pStyle w:val="ListParagraph"/>
        <w:numPr>
          <w:ilvl w:val="0"/>
          <w:numId w:val="20"/>
        </w:numPr>
        <w:spacing w:after="60"/>
        <w:ind w:left="1080"/>
        <w:contextualSpacing w:val="0"/>
      </w:pPr>
      <w:r>
        <w:t>Have been completed</w:t>
      </w:r>
      <w:r w:rsidR="0059115E">
        <w:t>.</w:t>
      </w:r>
    </w:p>
    <w:p w14:paraId="0866F8F6" w14:textId="4B1D2115" w:rsidR="007C27C6" w:rsidRPr="005A4CC3" w:rsidRDefault="003C1456" w:rsidP="005A4CC3">
      <w:pPr>
        <w:pStyle w:val="Heading3"/>
        <w:spacing w:before="60" w:after="60"/>
        <w:rPr>
          <w:rFonts w:asciiTheme="minorHAnsi" w:hAnsiTheme="minorHAnsi" w:cstheme="minorHAnsi"/>
          <w:b/>
          <w:color w:val="2F5496" w:themeColor="accent1" w:themeShade="BF"/>
        </w:rPr>
      </w:pPr>
      <w:r w:rsidRPr="005A4CC3">
        <w:rPr>
          <w:rFonts w:asciiTheme="minorHAnsi" w:hAnsiTheme="minorHAnsi" w:cstheme="minorHAnsi"/>
          <w:b/>
          <w:color w:val="2F5496" w:themeColor="accent1" w:themeShade="BF"/>
        </w:rPr>
        <w:t>2</w:t>
      </w:r>
      <w:r w:rsidRPr="005A4CC3">
        <w:rPr>
          <w:rFonts w:asciiTheme="minorHAnsi" w:hAnsiTheme="minorHAnsi" w:cstheme="minorHAnsi"/>
          <w:b/>
          <w:color w:val="2F5496" w:themeColor="accent1" w:themeShade="BF"/>
        </w:rPr>
        <w:tab/>
      </w:r>
      <w:r w:rsidR="00E114DE" w:rsidRPr="005A4CC3">
        <w:rPr>
          <w:rFonts w:asciiTheme="minorHAnsi" w:hAnsiTheme="minorHAnsi" w:cstheme="minorHAnsi"/>
          <w:b/>
          <w:color w:val="2F5496" w:themeColor="accent1" w:themeShade="BF"/>
        </w:rPr>
        <w:t>Standing Business</w:t>
      </w:r>
    </w:p>
    <w:p w14:paraId="76C7EBB7" w14:textId="7E56E4F4" w:rsidR="00E114DE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2.1</w:t>
      </w:r>
      <w:r w:rsidRPr="00E114DE">
        <w:rPr>
          <w:b/>
          <w:color w:val="2F5496" w:themeColor="accent1" w:themeShade="BF"/>
          <w:sz w:val="24"/>
          <w:szCs w:val="24"/>
        </w:rPr>
        <w:tab/>
        <w:t>Administration and Planning</w:t>
      </w:r>
    </w:p>
    <w:p w14:paraId="1E032DF9" w14:textId="3E2F7F22" w:rsidR="00323D1C" w:rsidRDefault="00476BA2" w:rsidP="00476BA2">
      <w:pPr>
        <w:spacing w:after="60"/>
        <w:ind w:left="720"/>
      </w:pPr>
      <w:r>
        <w:t>OSM Process for 2021-22</w:t>
      </w:r>
    </w:p>
    <w:p w14:paraId="3F2D1CAF" w14:textId="15547314" w:rsidR="00476BA2" w:rsidRDefault="003A6434" w:rsidP="00295BAB">
      <w:pPr>
        <w:pStyle w:val="ListParagraph"/>
        <w:numPr>
          <w:ilvl w:val="0"/>
          <w:numId w:val="24"/>
        </w:numPr>
        <w:spacing w:after="60"/>
        <w:ind w:left="1080"/>
      </w:pPr>
      <w:r>
        <w:t>Workplans have not yet been approved; decision will be made in May</w:t>
      </w:r>
    </w:p>
    <w:p w14:paraId="1E9EB887" w14:textId="3D977BC1" w:rsidR="003A6434" w:rsidRDefault="003A6434" w:rsidP="003A6434">
      <w:pPr>
        <w:pStyle w:val="ListParagraph"/>
        <w:numPr>
          <w:ilvl w:val="0"/>
          <w:numId w:val="24"/>
        </w:numPr>
        <w:spacing w:after="60"/>
        <w:ind w:left="1080"/>
      </w:pPr>
      <w:r>
        <w:t>AEP has asked how a 12% reduction in funding would affect PRAMP. A reduction of that amount would impact PRAMP. We have not received any indication from AEP that there will be a reduction.</w:t>
      </w:r>
    </w:p>
    <w:p w14:paraId="21CBFA52" w14:textId="22408C38" w:rsidR="007C27C6" w:rsidRPr="00E114DE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2.2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A03C8A" w:rsidRPr="00E114DE">
        <w:rPr>
          <w:b/>
          <w:color w:val="2F5496" w:themeColor="accent1" w:themeShade="BF"/>
          <w:sz w:val="24"/>
          <w:szCs w:val="24"/>
        </w:rPr>
        <w:t>Continuous Monitoring Program</w:t>
      </w:r>
    </w:p>
    <w:p w14:paraId="7EF0F4D6" w14:textId="77777777" w:rsidR="00991553" w:rsidRDefault="00A02A57" w:rsidP="00991553">
      <w:pPr>
        <w:spacing w:after="60"/>
        <w:ind w:left="360"/>
        <w:rPr>
          <w:u w:val="single"/>
        </w:rPr>
      </w:pPr>
      <w:r>
        <w:rPr>
          <w:u w:val="single"/>
        </w:rPr>
        <w:t>Dashboard Reports</w:t>
      </w:r>
      <w:r w:rsidR="00095650">
        <w:rPr>
          <w:u w:val="single"/>
        </w:rPr>
        <w:t xml:space="preserve"> </w:t>
      </w:r>
    </w:p>
    <w:p w14:paraId="30EDAC10" w14:textId="77777777" w:rsidR="00783F3D" w:rsidRDefault="00991553" w:rsidP="00991553">
      <w:pPr>
        <w:spacing w:after="60"/>
        <w:ind w:left="360"/>
        <w:rPr>
          <w:i/>
          <w:iCs/>
        </w:rPr>
      </w:pPr>
      <w:r>
        <w:rPr>
          <w:i/>
          <w:iCs/>
        </w:rPr>
        <w:t>T</w:t>
      </w:r>
      <w:r w:rsidR="00570D20" w:rsidRPr="00991553">
        <w:rPr>
          <w:i/>
          <w:iCs/>
        </w:rPr>
        <w:t xml:space="preserve">he </w:t>
      </w:r>
      <w:r w:rsidR="003A6434">
        <w:rPr>
          <w:i/>
          <w:iCs/>
        </w:rPr>
        <w:t>January, February and March</w:t>
      </w:r>
      <w:r w:rsidR="00570D20" w:rsidRPr="00991553">
        <w:rPr>
          <w:i/>
          <w:iCs/>
        </w:rPr>
        <w:t xml:space="preserve"> dashboard</w:t>
      </w:r>
      <w:r>
        <w:rPr>
          <w:i/>
          <w:iCs/>
        </w:rPr>
        <w:t xml:space="preserve"> reports were posted</w:t>
      </w:r>
      <w:r w:rsidR="00570D20" w:rsidRPr="00991553">
        <w:rPr>
          <w:i/>
          <w:iCs/>
        </w:rPr>
        <w:t xml:space="preserve"> on the Members Portal</w:t>
      </w:r>
      <w:r w:rsidR="00783F3D">
        <w:rPr>
          <w:i/>
          <w:iCs/>
        </w:rPr>
        <w:t>.</w:t>
      </w:r>
    </w:p>
    <w:p w14:paraId="73F0145C" w14:textId="06CF362A" w:rsidR="00570D20" w:rsidRPr="00570D20" w:rsidRDefault="00570D20" w:rsidP="00BF7F54">
      <w:pPr>
        <w:spacing w:after="60"/>
        <w:ind w:left="720"/>
        <w:rPr>
          <w:u w:val="single"/>
        </w:rPr>
      </w:pPr>
      <w:r>
        <w:rPr>
          <w:u w:val="single"/>
        </w:rPr>
        <w:t>986</w:t>
      </w:r>
    </w:p>
    <w:p w14:paraId="694D01E1" w14:textId="30DBA539" w:rsidR="00783F3D" w:rsidRDefault="00542A57" w:rsidP="00EC5BB9">
      <w:pPr>
        <w:pStyle w:val="ListParagraph"/>
        <w:numPr>
          <w:ilvl w:val="0"/>
          <w:numId w:val="27"/>
        </w:numPr>
        <w:spacing w:after="60"/>
      </w:pPr>
      <w:r>
        <w:t>No issues to report</w:t>
      </w:r>
    </w:p>
    <w:p w14:paraId="755E40CA" w14:textId="77777777" w:rsidR="00542A57" w:rsidRDefault="00542A57" w:rsidP="00542A57">
      <w:pPr>
        <w:pStyle w:val="ListParagraph"/>
        <w:spacing w:after="60"/>
        <w:ind w:left="1080"/>
      </w:pPr>
    </w:p>
    <w:p w14:paraId="616C5D4B" w14:textId="1035C945" w:rsidR="00570D20" w:rsidRDefault="00570D20" w:rsidP="00570D20">
      <w:pPr>
        <w:spacing w:after="60"/>
        <w:ind w:left="720"/>
        <w:rPr>
          <w:u w:val="single"/>
        </w:rPr>
      </w:pPr>
      <w:r w:rsidRPr="00570D20">
        <w:rPr>
          <w:u w:val="single"/>
        </w:rPr>
        <w:t>842</w:t>
      </w:r>
    </w:p>
    <w:p w14:paraId="48DD061A" w14:textId="747F0D77" w:rsidR="004B4C2C" w:rsidRDefault="003A6434" w:rsidP="00BF7F54">
      <w:pPr>
        <w:pStyle w:val="ListParagraph"/>
        <w:numPr>
          <w:ilvl w:val="0"/>
          <w:numId w:val="35"/>
        </w:numPr>
        <w:spacing w:after="60"/>
        <w:ind w:left="1080"/>
      </w:pPr>
      <w:r>
        <w:t>One non-compliance event in January</w:t>
      </w:r>
      <w:r w:rsidR="004B4C2C">
        <w:t>.</w:t>
      </w:r>
      <w:r>
        <w:t xml:space="preserve"> TRS failed. Related to ambient temperature. Tech waited for </w:t>
      </w:r>
      <w:r w:rsidR="00783F3D">
        <w:t>better weather</w:t>
      </w:r>
      <w:r w:rsidR="00A32505">
        <w:t>. One hundred and thirty-six hours of downtime were recorded.</w:t>
      </w:r>
    </w:p>
    <w:p w14:paraId="0CAA1485" w14:textId="347C8798" w:rsidR="00783F3D" w:rsidRDefault="00783F3D" w:rsidP="00BF7F54">
      <w:pPr>
        <w:pStyle w:val="ListParagraph"/>
        <w:numPr>
          <w:ilvl w:val="0"/>
          <w:numId w:val="35"/>
        </w:numPr>
        <w:spacing w:after="60"/>
        <w:ind w:left="1080"/>
      </w:pPr>
      <w:r>
        <w:t>In February</w:t>
      </w:r>
      <w:r w:rsidR="009A2E75">
        <w:t>,</w:t>
      </w:r>
      <w:r>
        <w:t xml:space="preserve"> </w:t>
      </w:r>
      <w:r w:rsidR="00F3271E">
        <w:t xml:space="preserve">the TRS analyzer failed the daily span check caused by low temperatures and lack of moisture in the sample air. One hundred thirty-eight hours of downtime recorded. </w:t>
      </w:r>
    </w:p>
    <w:p w14:paraId="5F518028" w14:textId="7178B773" w:rsidR="00542A57" w:rsidRDefault="00542A57" w:rsidP="00BF7F54">
      <w:pPr>
        <w:pStyle w:val="ListParagraph"/>
        <w:numPr>
          <w:ilvl w:val="0"/>
          <w:numId w:val="35"/>
        </w:numPr>
        <w:spacing w:after="60"/>
        <w:ind w:left="1080"/>
      </w:pPr>
      <w:r>
        <w:t>In March, no data recorded possibly due to Windows update. Five hours of downtime recorded</w:t>
      </w:r>
      <w:r w:rsidR="009A2E75">
        <w:t>.</w:t>
      </w:r>
    </w:p>
    <w:p w14:paraId="0E6A43A1" w14:textId="77777777" w:rsidR="00F3271E" w:rsidRDefault="00F3271E" w:rsidP="00F3271E">
      <w:pPr>
        <w:pStyle w:val="ListParagraph"/>
        <w:spacing w:after="60"/>
        <w:ind w:left="1080"/>
      </w:pPr>
    </w:p>
    <w:p w14:paraId="5D9D78CF" w14:textId="3436DB9D" w:rsidR="00570D20" w:rsidRPr="00570D20" w:rsidRDefault="00570D20" w:rsidP="00570D20">
      <w:pPr>
        <w:spacing w:after="60"/>
        <w:ind w:left="720"/>
        <w:rPr>
          <w:u w:val="single"/>
        </w:rPr>
      </w:pPr>
      <w:r w:rsidRPr="00570D20">
        <w:rPr>
          <w:u w:val="single"/>
        </w:rPr>
        <w:t>Reno</w:t>
      </w:r>
    </w:p>
    <w:p w14:paraId="7D94494F" w14:textId="262BCF88" w:rsidR="00A32505" w:rsidRDefault="00A32505" w:rsidP="00570D20">
      <w:pPr>
        <w:pStyle w:val="ListParagraph"/>
        <w:numPr>
          <w:ilvl w:val="0"/>
          <w:numId w:val="27"/>
        </w:numPr>
        <w:spacing w:after="60"/>
      </w:pPr>
      <w:r>
        <w:t>In January</w:t>
      </w:r>
      <w:r w:rsidR="009A2E75">
        <w:t>,</w:t>
      </w:r>
      <w:r>
        <w:t xml:space="preserve"> the </w:t>
      </w:r>
      <w:r w:rsidR="009A2E75">
        <w:t xml:space="preserve">TRS </w:t>
      </w:r>
      <w:r>
        <w:t>analyzer had an issue due to extreme cold temperatures. Zero check results between January 24 – 31 were excluded from baseline correction</w:t>
      </w:r>
    </w:p>
    <w:p w14:paraId="0078AB7D" w14:textId="1CD3AA18" w:rsidR="00323D1C" w:rsidRDefault="0032611F" w:rsidP="00570D20">
      <w:pPr>
        <w:pStyle w:val="ListParagraph"/>
        <w:numPr>
          <w:ilvl w:val="0"/>
          <w:numId w:val="27"/>
        </w:numPr>
        <w:spacing w:after="60"/>
      </w:pPr>
      <w:r>
        <w:t>In February</w:t>
      </w:r>
      <w:r w:rsidR="009A2E75">
        <w:t>,</w:t>
      </w:r>
      <w:r>
        <w:t xml:space="preserve"> the TRS analyzer failed due to extreme cold</w:t>
      </w:r>
      <w:r w:rsidR="00323D1C">
        <w:t>.</w:t>
      </w:r>
      <w:r>
        <w:t xml:space="preserve"> TRS did not meet the 90% operational uptime.</w:t>
      </w:r>
    </w:p>
    <w:p w14:paraId="4C14F700" w14:textId="597B454B" w:rsidR="0032611F" w:rsidRDefault="0032611F" w:rsidP="00570D20">
      <w:pPr>
        <w:pStyle w:val="ListParagraph"/>
        <w:numPr>
          <w:ilvl w:val="0"/>
          <w:numId w:val="27"/>
        </w:numPr>
        <w:spacing w:after="60"/>
      </w:pPr>
      <w:r>
        <w:t>THC/CH4/NMHC sample pump failure. Forty</w:t>
      </w:r>
      <w:r w:rsidR="009A2E75">
        <w:t>-</w:t>
      </w:r>
      <w:r>
        <w:t>two hours of downtime recorded.</w:t>
      </w:r>
    </w:p>
    <w:p w14:paraId="7E09CC2C" w14:textId="56919CDC" w:rsidR="00783F3D" w:rsidRDefault="00542A57" w:rsidP="00570D20">
      <w:pPr>
        <w:pStyle w:val="ListParagraph"/>
        <w:numPr>
          <w:ilvl w:val="0"/>
          <w:numId w:val="27"/>
        </w:numPr>
        <w:spacing w:after="60"/>
      </w:pPr>
      <w:r>
        <w:t>TRS analyzer failed daily span check. Data invalidated for March 4 and 5. Forty-five hours of downtime recorded</w:t>
      </w:r>
      <w:r w:rsidR="009A2E75">
        <w:t>.</w:t>
      </w:r>
    </w:p>
    <w:p w14:paraId="42CDF541" w14:textId="754D2C73" w:rsidR="00570D20" w:rsidRPr="00570D20" w:rsidRDefault="00570D20" w:rsidP="00570D20">
      <w:pPr>
        <w:spacing w:after="60"/>
        <w:ind w:left="720"/>
        <w:rPr>
          <w:u w:val="single"/>
        </w:rPr>
      </w:pPr>
      <w:r w:rsidRPr="00570D20">
        <w:rPr>
          <w:u w:val="single"/>
        </w:rPr>
        <w:t xml:space="preserve">AQHI </w:t>
      </w:r>
    </w:p>
    <w:p w14:paraId="49A91226" w14:textId="21075367" w:rsidR="00A32505" w:rsidRDefault="00A32505" w:rsidP="00EC5BB9">
      <w:pPr>
        <w:pStyle w:val="ListParagraph"/>
        <w:numPr>
          <w:ilvl w:val="0"/>
          <w:numId w:val="27"/>
        </w:numPr>
        <w:spacing w:after="60"/>
      </w:pPr>
      <w:r>
        <w:t>In January</w:t>
      </w:r>
      <w:r w:rsidR="009A2E75">
        <w:t>,</w:t>
      </w:r>
      <w:r>
        <w:t xml:space="preserve"> there was a calibration equipment error</w:t>
      </w:r>
      <w:r w:rsidR="009A2E75">
        <w:t xml:space="preserve"> for the Nox analyzer</w:t>
      </w:r>
      <w:r>
        <w:t>. Downtime of fifteen hours was recorded</w:t>
      </w:r>
    </w:p>
    <w:p w14:paraId="1000FFA7" w14:textId="691E39D7" w:rsidR="00A32505" w:rsidRDefault="00A32505" w:rsidP="00EC5BB9">
      <w:pPr>
        <w:pStyle w:val="ListParagraph"/>
        <w:numPr>
          <w:ilvl w:val="0"/>
          <w:numId w:val="27"/>
        </w:numPr>
        <w:spacing w:after="60"/>
      </w:pPr>
      <w:r>
        <w:t>The THC/C</w:t>
      </w:r>
      <w:r w:rsidR="009A2E75">
        <w:t>H</w:t>
      </w:r>
      <w:r>
        <w:t>4/NMHC analyzer failed due to depletions of carrier gas. Thirty</w:t>
      </w:r>
      <w:r w:rsidR="009A2E75">
        <w:t>-</w:t>
      </w:r>
      <w:r>
        <w:t xml:space="preserve">five hours of data </w:t>
      </w:r>
      <w:r w:rsidR="00F3271E">
        <w:t>were invalidated</w:t>
      </w:r>
      <w:r w:rsidR="009A2E75">
        <w:t>.</w:t>
      </w:r>
    </w:p>
    <w:p w14:paraId="1FC4D615" w14:textId="46B0389D" w:rsidR="00783F3D" w:rsidRDefault="00542A57" w:rsidP="00EC5BB9">
      <w:pPr>
        <w:pStyle w:val="ListParagraph"/>
        <w:numPr>
          <w:ilvl w:val="0"/>
          <w:numId w:val="27"/>
        </w:numPr>
        <w:spacing w:after="60"/>
      </w:pPr>
      <w:r>
        <w:t>In March</w:t>
      </w:r>
      <w:r w:rsidR="009A2E75">
        <w:t>,</w:t>
      </w:r>
      <w:r>
        <w:t xml:space="preserve"> the PM2.5 analyzer crashed resulting in 26 hours downtime</w:t>
      </w:r>
      <w:r w:rsidR="009A2E75">
        <w:t>.</w:t>
      </w:r>
    </w:p>
    <w:p w14:paraId="65CC0CD9" w14:textId="2F572A33" w:rsidR="00D6144E" w:rsidRDefault="008C4E4F" w:rsidP="00EC5BB9">
      <w:pPr>
        <w:pStyle w:val="ListParagraph"/>
        <w:numPr>
          <w:ilvl w:val="0"/>
          <w:numId w:val="27"/>
        </w:numPr>
        <w:spacing w:after="60"/>
      </w:pPr>
      <w:r>
        <w:lastRenderedPageBreak/>
        <w:t xml:space="preserve">Further analysis of the </w:t>
      </w:r>
      <w:r w:rsidR="00D6144E">
        <w:t xml:space="preserve">Cadotte Lake </w:t>
      </w:r>
      <w:r w:rsidR="00BF182C">
        <w:t xml:space="preserve">TRS </w:t>
      </w:r>
      <w:r w:rsidR="00D6144E">
        <w:t>data</w:t>
      </w:r>
      <w:r>
        <w:t xml:space="preserve"> is planned</w:t>
      </w:r>
      <w:r w:rsidR="00BF182C">
        <w:t>;</w:t>
      </w:r>
      <w:r w:rsidR="00D6144E">
        <w:t xml:space="preserve"> there are similar patterns in the data over the </w:t>
      </w:r>
      <w:r w:rsidR="00F9550F">
        <w:t>same period of time last year</w:t>
      </w:r>
      <w:r w:rsidR="00D6144E">
        <w:t>.</w:t>
      </w:r>
      <w:r w:rsidR="009A2E75">
        <w:t xml:space="preserve"> The results will be included in the AQHI station wrap up report.</w:t>
      </w:r>
    </w:p>
    <w:p w14:paraId="24AE14D2" w14:textId="237B4859" w:rsidR="00542A57" w:rsidRDefault="00542A57" w:rsidP="00542A57">
      <w:pPr>
        <w:pStyle w:val="ListParagraph"/>
        <w:numPr>
          <w:ilvl w:val="0"/>
          <w:numId w:val="27"/>
        </w:numPr>
        <w:spacing w:after="60"/>
        <w:contextualSpacing w:val="0"/>
      </w:pPr>
      <w:r>
        <w:t xml:space="preserve">Lower acceptable limit will be set for </w:t>
      </w:r>
      <w:r w:rsidR="009A2E75">
        <w:t>CH4 from 1.8ppm to 1.7ppm</w:t>
      </w:r>
      <w:r>
        <w:t xml:space="preserve">; will also affect the THC readings. </w:t>
      </w:r>
      <w:r w:rsidR="009A2E75">
        <w:t xml:space="preserve">The limit was set for the daily data review and allowed some leeway for later zero correction. </w:t>
      </w:r>
      <w:r>
        <w:t>This will be discussed further in the 2020 data report review.</w:t>
      </w:r>
    </w:p>
    <w:p w14:paraId="067D5337" w14:textId="4B934417" w:rsidR="00C217C5" w:rsidRPr="00C217C5" w:rsidRDefault="00C217C5" w:rsidP="00C217C5">
      <w:pPr>
        <w:spacing w:after="60"/>
        <w:ind w:left="720"/>
        <w:rPr>
          <w:b/>
          <w:bCs/>
        </w:rPr>
      </w:pPr>
      <w:r w:rsidRPr="00C217C5">
        <w:rPr>
          <w:b/>
          <w:bCs/>
        </w:rPr>
        <w:t xml:space="preserve">Action item: </w:t>
      </w:r>
      <w:r w:rsidR="008C4E4F">
        <w:rPr>
          <w:b/>
          <w:bCs/>
        </w:rPr>
        <w:t>T</w:t>
      </w:r>
      <w:r w:rsidRPr="00C217C5">
        <w:rPr>
          <w:b/>
          <w:bCs/>
        </w:rPr>
        <w:t xml:space="preserve">he order of stations on the dashboard </w:t>
      </w:r>
      <w:r w:rsidR="008C4E4F">
        <w:rPr>
          <w:b/>
          <w:bCs/>
        </w:rPr>
        <w:t xml:space="preserve">will be changed </w:t>
      </w:r>
      <w:r w:rsidRPr="00C217C5">
        <w:rPr>
          <w:b/>
          <w:bCs/>
        </w:rPr>
        <w:t>(move the PRC station to the end as we do not have data)</w:t>
      </w:r>
    </w:p>
    <w:p w14:paraId="7F3E1171" w14:textId="77777777" w:rsidR="00151986" w:rsidRPr="00BF6A3F" w:rsidRDefault="00151986" w:rsidP="00151986">
      <w:pPr>
        <w:spacing w:after="60"/>
        <w:ind w:left="720"/>
        <w:rPr>
          <w:u w:val="single"/>
        </w:rPr>
      </w:pPr>
      <w:r>
        <w:rPr>
          <w:u w:val="single"/>
        </w:rPr>
        <w:t>Review canister results</w:t>
      </w:r>
    </w:p>
    <w:p w14:paraId="0B30148A" w14:textId="1416F3CE" w:rsidR="00151986" w:rsidRDefault="00F3271E" w:rsidP="00151986">
      <w:pPr>
        <w:pStyle w:val="ListParagraph"/>
        <w:numPr>
          <w:ilvl w:val="0"/>
          <w:numId w:val="36"/>
        </w:numPr>
        <w:spacing w:after="60"/>
        <w:ind w:left="1080"/>
      </w:pPr>
      <w:r>
        <w:t>In January</w:t>
      </w:r>
      <w:r w:rsidR="009A2E75">
        <w:t>,</w:t>
      </w:r>
      <w:r>
        <w:t xml:space="preserve"> o</w:t>
      </w:r>
      <w:r w:rsidR="00151986">
        <w:t xml:space="preserve">ne </w:t>
      </w:r>
      <w:r>
        <w:t>NMHC-triggered</w:t>
      </w:r>
      <w:r w:rsidR="00151986">
        <w:t xml:space="preserve"> event was recorded </w:t>
      </w:r>
      <w:r>
        <w:t>at 986c</w:t>
      </w:r>
      <w:r w:rsidR="000347C6">
        <w:t>.</w:t>
      </w:r>
    </w:p>
    <w:p w14:paraId="379940FE" w14:textId="4F93DAA9" w:rsidR="0032611F" w:rsidRDefault="0032611F" w:rsidP="00151986">
      <w:pPr>
        <w:pStyle w:val="ListParagraph"/>
        <w:numPr>
          <w:ilvl w:val="0"/>
          <w:numId w:val="36"/>
        </w:numPr>
        <w:spacing w:after="60"/>
        <w:ind w:left="1080"/>
      </w:pPr>
      <w:r>
        <w:t>In February</w:t>
      </w:r>
      <w:r w:rsidR="009A2E75">
        <w:t>,</w:t>
      </w:r>
      <w:r>
        <w:t xml:space="preserve"> one NMHC-triggered event was recorded at 986c</w:t>
      </w:r>
      <w:r w:rsidR="000347C6">
        <w:t>.</w:t>
      </w:r>
    </w:p>
    <w:p w14:paraId="4E90A89B" w14:textId="76386167" w:rsidR="00151986" w:rsidRPr="00D63E7A" w:rsidRDefault="00151986" w:rsidP="00151986">
      <w:pPr>
        <w:pStyle w:val="ListParagraph"/>
        <w:numPr>
          <w:ilvl w:val="0"/>
          <w:numId w:val="36"/>
        </w:numPr>
        <w:spacing w:after="60"/>
        <w:ind w:left="1080"/>
      </w:pPr>
      <w:r>
        <w:t>No canister event in March</w:t>
      </w:r>
      <w:r w:rsidR="000347C6">
        <w:t>.</w:t>
      </w:r>
    </w:p>
    <w:p w14:paraId="18D5929C" w14:textId="77777777" w:rsidR="00DF31CC" w:rsidRDefault="00DF31CC" w:rsidP="00DF31CC">
      <w:pPr>
        <w:spacing w:after="60"/>
        <w:ind w:left="630"/>
        <w:rPr>
          <w:u w:val="single"/>
          <w:lang w:val="fr-FR"/>
        </w:rPr>
      </w:pPr>
      <w:r w:rsidRPr="00D63E7A">
        <w:rPr>
          <w:u w:val="single"/>
          <w:lang w:val="fr-FR"/>
        </w:rPr>
        <w:t>AQHI Re-deployment</w:t>
      </w:r>
    </w:p>
    <w:p w14:paraId="546626D7" w14:textId="5DC9ED99" w:rsidR="00DF31CC" w:rsidRDefault="00DF31CC" w:rsidP="00DF31CC">
      <w:pPr>
        <w:pStyle w:val="ListParagraph"/>
        <w:numPr>
          <w:ilvl w:val="0"/>
          <w:numId w:val="27"/>
        </w:numPr>
        <w:spacing w:after="60"/>
      </w:pPr>
      <w:r w:rsidRPr="00DF31CC">
        <w:t>Summary of the feedback of redeployment</w:t>
      </w:r>
      <w:r>
        <w:t xml:space="preserve"> of the AQHI station</w:t>
      </w:r>
      <w:r w:rsidR="000347C6">
        <w:t>.</w:t>
      </w:r>
    </w:p>
    <w:p w14:paraId="48DCDC20" w14:textId="26ACE239" w:rsidR="00DF31CC" w:rsidRDefault="00A05438" w:rsidP="00DF31CC">
      <w:pPr>
        <w:pStyle w:val="ListParagraph"/>
        <w:numPr>
          <w:ilvl w:val="0"/>
          <w:numId w:val="27"/>
        </w:numPr>
        <w:spacing w:after="60"/>
      </w:pPr>
      <w:r>
        <w:t xml:space="preserve">Redeployment will be postponed until </w:t>
      </w:r>
      <w:r w:rsidR="00DF31CC">
        <w:t xml:space="preserve">May or June to ensure </w:t>
      </w:r>
      <w:r w:rsidR="00B46C0F">
        <w:t xml:space="preserve">PRAMP </w:t>
      </w:r>
      <w:r w:rsidR="00DF31CC">
        <w:t>ha</w:t>
      </w:r>
      <w:r w:rsidR="00B46C0F">
        <w:t>s</w:t>
      </w:r>
      <w:r w:rsidR="00DF31CC">
        <w:t xml:space="preserve"> proper funding</w:t>
      </w:r>
      <w:r w:rsidR="000347C6">
        <w:t>.</w:t>
      </w:r>
    </w:p>
    <w:p w14:paraId="59AC0E22" w14:textId="1222BEB0" w:rsidR="00DF31CC" w:rsidRDefault="00C8612C" w:rsidP="00DF31CC">
      <w:pPr>
        <w:pStyle w:val="ListParagraph"/>
        <w:numPr>
          <w:ilvl w:val="0"/>
          <w:numId w:val="27"/>
        </w:numPr>
        <w:spacing w:after="60"/>
      </w:pPr>
      <w:r>
        <w:t>Review of the information collected in stakeholder interviews and online survey.</w:t>
      </w:r>
    </w:p>
    <w:p w14:paraId="59FA1631" w14:textId="516F5DCD" w:rsidR="00C8612C" w:rsidRDefault="001B5C8C" w:rsidP="00DF31CC">
      <w:pPr>
        <w:pStyle w:val="ListParagraph"/>
        <w:numPr>
          <w:ilvl w:val="0"/>
          <w:numId w:val="27"/>
        </w:numPr>
        <w:spacing w:after="60"/>
      </w:pPr>
      <w:r>
        <w:t>Sites where the a</w:t>
      </w:r>
      <w:r w:rsidR="00BF182C">
        <w:t>ir quality c</w:t>
      </w:r>
      <w:r w:rsidR="00C8612C">
        <w:t>oncern</w:t>
      </w:r>
      <w:r>
        <w:t>(s)</w:t>
      </w:r>
      <w:r w:rsidR="00C8612C">
        <w:t xml:space="preserve"> can be </w:t>
      </w:r>
      <w:r w:rsidR="00BF182C">
        <w:t>addressed</w:t>
      </w:r>
      <w:r w:rsidR="00C8612C">
        <w:t xml:space="preserve"> by a small sensor (i.e. dust</w:t>
      </w:r>
      <w:r w:rsidR="00B46C0F">
        <w:t>/smoke</w:t>
      </w:r>
      <w:r w:rsidR="00C8612C">
        <w:t xml:space="preserve">) have not been included in the </w:t>
      </w:r>
      <w:r w:rsidR="00B46C0F">
        <w:t xml:space="preserve">matrix </w:t>
      </w:r>
      <w:r w:rsidR="00C8612C">
        <w:t>weighting</w:t>
      </w:r>
      <w:r w:rsidR="000347C6">
        <w:t>.</w:t>
      </w:r>
      <w:r>
        <w:t xml:space="preserve"> </w:t>
      </w:r>
    </w:p>
    <w:p w14:paraId="076F29E9" w14:textId="04542834" w:rsidR="00C8612C" w:rsidRPr="0032611F" w:rsidRDefault="000C06DB" w:rsidP="0032611F">
      <w:pPr>
        <w:spacing w:after="60"/>
        <w:ind w:left="720"/>
        <w:rPr>
          <w:b/>
          <w:bCs/>
        </w:rPr>
      </w:pPr>
      <w:r w:rsidRPr="0032611F">
        <w:rPr>
          <w:b/>
          <w:bCs/>
        </w:rPr>
        <w:t xml:space="preserve">Action item: </w:t>
      </w:r>
      <w:r w:rsidR="00A05438">
        <w:rPr>
          <w:b/>
          <w:bCs/>
        </w:rPr>
        <w:t>U</w:t>
      </w:r>
      <w:r w:rsidRPr="0032611F">
        <w:rPr>
          <w:b/>
          <w:bCs/>
        </w:rPr>
        <w:t xml:space="preserve">pdate the map with </w:t>
      </w:r>
      <w:r w:rsidR="008C4E4F">
        <w:rPr>
          <w:b/>
          <w:bCs/>
        </w:rPr>
        <w:t xml:space="preserve">current </w:t>
      </w:r>
      <w:r w:rsidRPr="0032611F">
        <w:rPr>
          <w:b/>
          <w:bCs/>
        </w:rPr>
        <w:t xml:space="preserve">industry </w:t>
      </w:r>
      <w:r w:rsidR="008C4E4F">
        <w:rPr>
          <w:b/>
          <w:bCs/>
        </w:rPr>
        <w:t>facility location information.</w:t>
      </w:r>
    </w:p>
    <w:p w14:paraId="5BF9C68C" w14:textId="386E6B0C" w:rsidR="007C4662" w:rsidRDefault="007C4662" w:rsidP="00DF31CC">
      <w:pPr>
        <w:pStyle w:val="ListParagraph"/>
        <w:numPr>
          <w:ilvl w:val="0"/>
          <w:numId w:val="27"/>
        </w:numPr>
        <w:spacing w:after="60"/>
      </w:pPr>
      <w:r>
        <w:t>Review of the matrix document for each site</w:t>
      </w:r>
      <w:r w:rsidR="000347C6">
        <w:t>.</w:t>
      </w:r>
      <w:r>
        <w:t xml:space="preserve"> </w:t>
      </w:r>
    </w:p>
    <w:p w14:paraId="6287075C" w14:textId="03ACE3B3" w:rsidR="000C06DB" w:rsidRDefault="000C06DB" w:rsidP="00DF31CC">
      <w:pPr>
        <w:pStyle w:val="ListParagraph"/>
        <w:numPr>
          <w:ilvl w:val="0"/>
          <w:numId w:val="27"/>
        </w:numPr>
        <w:spacing w:after="60"/>
      </w:pPr>
      <w:r>
        <w:t>Note: modelling</w:t>
      </w:r>
      <w:r w:rsidR="007C4662">
        <w:t xml:space="preserve"> or emission data</w:t>
      </w:r>
      <w:r>
        <w:t xml:space="preserve"> isn’t included on the matrix; complaints from od</w:t>
      </w:r>
      <w:r w:rsidR="000347C6">
        <w:t>ou</w:t>
      </w:r>
      <w:r>
        <w:t>r issues may not be identified (i.e. residents no longer complain)</w:t>
      </w:r>
      <w:r w:rsidR="007C4662">
        <w:t>. Mike will review and see how he can integrate modelling as well as existing emission data.</w:t>
      </w:r>
    </w:p>
    <w:p w14:paraId="2A7372F1" w14:textId="578EFAEE" w:rsidR="007C4662" w:rsidRDefault="008C4E4F" w:rsidP="00DF31CC">
      <w:pPr>
        <w:pStyle w:val="ListParagraph"/>
        <w:numPr>
          <w:ilvl w:val="0"/>
          <w:numId w:val="27"/>
        </w:numPr>
        <w:spacing w:after="60"/>
      </w:pPr>
      <w:r>
        <w:t>Th</w:t>
      </w:r>
      <w:r w:rsidR="007C4662">
        <w:t>e matrix</w:t>
      </w:r>
      <w:r>
        <w:t xml:space="preserve"> was not applied to sites where the nature of the air quality issue </w:t>
      </w:r>
      <w:r w:rsidR="000347C6">
        <w:t>is smoke/</w:t>
      </w:r>
      <w:r w:rsidR="007C4662">
        <w:t>dust as these can be addressed with small sensors.</w:t>
      </w:r>
    </w:p>
    <w:p w14:paraId="613EE649" w14:textId="0AC4772A" w:rsidR="007832A0" w:rsidRDefault="007832A0" w:rsidP="00DF31CC">
      <w:pPr>
        <w:pStyle w:val="ListParagraph"/>
        <w:numPr>
          <w:ilvl w:val="0"/>
          <w:numId w:val="27"/>
        </w:numPr>
        <w:spacing w:after="60"/>
      </w:pPr>
      <w:r>
        <w:t xml:space="preserve">The policy indicates that the TWG will </w:t>
      </w:r>
      <w:r w:rsidR="00B46C0F">
        <w:t>decide</w:t>
      </w:r>
      <w:r>
        <w:t xml:space="preserve"> </w:t>
      </w:r>
      <w:r w:rsidR="00B46C0F">
        <w:t xml:space="preserve">on a deployment plan </w:t>
      </w:r>
      <w:r>
        <w:t>and inform the Board.</w:t>
      </w:r>
    </w:p>
    <w:p w14:paraId="5F42F134" w14:textId="0ACBBF63" w:rsidR="00823E6A" w:rsidRDefault="00823E6A" w:rsidP="00DF31CC">
      <w:pPr>
        <w:pStyle w:val="ListParagraph"/>
        <w:numPr>
          <w:ilvl w:val="0"/>
          <w:numId w:val="27"/>
        </w:numPr>
        <w:spacing w:after="60"/>
      </w:pPr>
      <w:r>
        <w:t xml:space="preserve">There is support to put the portable in Grimshaw, but we will hold off the decision until </w:t>
      </w:r>
      <w:r w:rsidR="00B46C0F">
        <w:t xml:space="preserve">PRAMP </w:t>
      </w:r>
      <w:r>
        <w:t>ha</w:t>
      </w:r>
      <w:r w:rsidR="00B46C0F">
        <w:t>s</w:t>
      </w:r>
      <w:r>
        <w:t xml:space="preserve"> further discussions with Mercer.</w:t>
      </w:r>
    </w:p>
    <w:p w14:paraId="4E746DCB" w14:textId="58558C44" w:rsidR="001B5C8C" w:rsidRDefault="001B5C8C" w:rsidP="00DF31CC">
      <w:pPr>
        <w:pStyle w:val="ListParagraph"/>
        <w:numPr>
          <w:ilvl w:val="0"/>
          <w:numId w:val="27"/>
        </w:numPr>
        <w:spacing w:after="60"/>
      </w:pPr>
      <w:r>
        <w:t>Table summarizing feedback from surveys/consultation, matrix score</w:t>
      </w:r>
      <w:r w:rsidR="00B46C0F">
        <w:t xml:space="preserve"> (count indicates the number of times the issue appeared in feedback)</w:t>
      </w:r>
      <w:r w:rsidR="00A05438">
        <w:t>:</w:t>
      </w:r>
    </w:p>
    <w:p w14:paraId="4E5B3E0F" w14:textId="1A777F1A" w:rsidR="009A2E75" w:rsidRPr="00BF182C" w:rsidRDefault="00BF182C" w:rsidP="000347C6">
      <w:pPr>
        <w:pStyle w:val="ListParagraph"/>
        <w:spacing w:after="60"/>
        <w:ind w:left="1080"/>
      </w:pPr>
      <w:r w:rsidRPr="000347C6">
        <w:rPr>
          <w:noProof/>
        </w:rPr>
        <w:drawing>
          <wp:inline distT="0" distB="0" distL="0" distR="0" wp14:anchorId="0B943A47" wp14:editId="6E1C68DC">
            <wp:extent cx="5233958" cy="2361751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711" cy="2369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3D2185" w14:textId="32F58117" w:rsidR="00823E6A" w:rsidRPr="00823E6A" w:rsidRDefault="00823E6A" w:rsidP="00823E6A">
      <w:pPr>
        <w:spacing w:after="60"/>
        <w:ind w:left="720"/>
        <w:rPr>
          <w:b/>
          <w:bCs/>
        </w:rPr>
      </w:pPr>
      <w:r w:rsidRPr="00823E6A">
        <w:rPr>
          <w:b/>
          <w:bCs/>
        </w:rPr>
        <w:t xml:space="preserve">Action item: </w:t>
      </w:r>
      <w:r w:rsidR="008C4E4F">
        <w:rPr>
          <w:b/>
          <w:bCs/>
        </w:rPr>
        <w:t>AEP</w:t>
      </w:r>
      <w:r w:rsidR="008C4E4F" w:rsidRPr="00823E6A">
        <w:rPr>
          <w:b/>
          <w:bCs/>
        </w:rPr>
        <w:t xml:space="preserve"> </w:t>
      </w:r>
      <w:r w:rsidRPr="00823E6A">
        <w:rPr>
          <w:b/>
          <w:bCs/>
        </w:rPr>
        <w:t xml:space="preserve">will </w:t>
      </w:r>
      <w:r w:rsidR="00A05438">
        <w:rPr>
          <w:b/>
          <w:bCs/>
        </w:rPr>
        <w:t>share</w:t>
      </w:r>
      <w:r w:rsidR="00A05438" w:rsidRPr="00823E6A">
        <w:rPr>
          <w:b/>
          <w:bCs/>
        </w:rPr>
        <w:t xml:space="preserve"> </w:t>
      </w:r>
      <w:r w:rsidRPr="00823E6A">
        <w:rPr>
          <w:b/>
          <w:bCs/>
        </w:rPr>
        <w:t xml:space="preserve">the emissions and modelling information </w:t>
      </w:r>
      <w:r w:rsidR="00A05438">
        <w:rPr>
          <w:b/>
          <w:bCs/>
        </w:rPr>
        <w:t>with PRAMP</w:t>
      </w:r>
      <w:r w:rsidRPr="00823E6A">
        <w:rPr>
          <w:b/>
          <w:bCs/>
        </w:rPr>
        <w:t>.</w:t>
      </w:r>
    </w:p>
    <w:p w14:paraId="5B0E84CB" w14:textId="2D09727C" w:rsidR="004B4C2C" w:rsidRPr="00B1065E" w:rsidRDefault="004B4C2C" w:rsidP="004B4C2C">
      <w:pPr>
        <w:spacing w:after="60"/>
        <w:ind w:left="720"/>
        <w:rPr>
          <w:u w:val="single"/>
        </w:rPr>
      </w:pPr>
      <w:r w:rsidRPr="00B1065E">
        <w:rPr>
          <w:u w:val="single"/>
        </w:rPr>
        <w:lastRenderedPageBreak/>
        <w:t xml:space="preserve">Reno </w:t>
      </w:r>
      <w:r w:rsidR="003B2931">
        <w:rPr>
          <w:u w:val="single"/>
        </w:rPr>
        <w:t>Siting</w:t>
      </w:r>
    </w:p>
    <w:p w14:paraId="1069E0C3" w14:textId="05C2469F" w:rsidR="004B4C2C" w:rsidRDefault="003B2931" w:rsidP="004B4C2C">
      <w:pPr>
        <w:pStyle w:val="ListParagraph"/>
        <w:numPr>
          <w:ilvl w:val="0"/>
          <w:numId w:val="27"/>
        </w:numPr>
        <w:spacing w:after="60"/>
      </w:pPr>
      <w:r>
        <w:t>Reno monitoring station does not meet the AMD siting criteria</w:t>
      </w:r>
      <w:r w:rsidR="004B4C2C">
        <w:t>.</w:t>
      </w:r>
    </w:p>
    <w:p w14:paraId="091BEB20" w14:textId="1970004B" w:rsidR="003B2931" w:rsidRDefault="003B2931" w:rsidP="004B4C2C">
      <w:pPr>
        <w:pStyle w:val="ListParagraph"/>
        <w:numPr>
          <w:ilvl w:val="0"/>
          <w:numId w:val="27"/>
        </w:numPr>
        <w:spacing w:after="60"/>
      </w:pPr>
      <w:r>
        <w:t>Present</w:t>
      </w:r>
      <w:r w:rsidR="001B5C8C">
        <w:t>ed</w:t>
      </w:r>
      <w:r>
        <w:t xml:space="preserve"> new proposed monitoring location (northwest of existing site)</w:t>
      </w:r>
    </w:p>
    <w:p w14:paraId="4EAAC0E2" w14:textId="5FE87BB2" w:rsidR="003B2931" w:rsidRDefault="003B2931" w:rsidP="004B4C2C">
      <w:pPr>
        <w:pStyle w:val="ListParagraph"/>
        <w:numPr>
          <w:ilvl w:val="0"/>
          <w:numId w:val="27"/>
        </w:numPr>
        <w:spacing w:after="60"/>
      </w:pPr>
      <w:r>
        <w:t>Costs to move to the new site or staying at the existing site and making it compliant with the AMD were compared.</w:t>
      </w:r>
    </w:p>
    <w:p w14:paraId="74DE4190" w14:textId="30CCDBE8" w:rsidR="00CB59A2" w:rsidRDefault="00CB59A2" w:rsidP="004B4C2C">
      <w:pPr>
        <w:pStyle w:val="ListParagraph"/>
        <w:numPr>
          <w:ilvl w:val="0"/>
          <w:numId w:val="27"/>
        </w:numPr>
        <w:spacing w:after="60"/>
      </w:pPr>
      <w:r>
        <w:t xml:space="preserve">Proposed next step will be to talk to the landowner at the new proposed site to find out if the station could be set further </w:t>
      </w:r>
      <w:r w:rsidR="00C217C5">
        <w:t>west</w:t>
      </w:r>
      <w:r>
        <w:t xml:space="preserve"> (more than 100m from the house)</w:t>
      </w:r>
      <w:r w:rsidR="00C217C5">
        <w:t>; cost analysis on removing the trees or extending the road</w:t>
      </w:r>
    </w:p>
    <w:p w14:paraId="0C7DE88C" w14:textId="56E8F2A5" w:rsidR="00CF744A" w:rsidRPr="00691523" w:rsidRDefault="000438AD" w:rsidP="005A4CC3">
      <w:pPr>
        <w:spacing w:after="60"/>
        <w:rPr>
          <w:b/>
          <w:sz w:val="24"/>
          <w:szCs w:val="24"/>
        </w:rPr>
      </w:pPr>
      <w:r w:rsidRPr="00691523">
        <w:rPr>
          <w:b/>
          <w:color w:val="2F5496" w:themeColor="accent1" w:themeShade="BF"/>
          <w:sz w:val="24"/>
          <w:szCs w:val="24"/>
        </w:rPr>
        <w:t>2</w:t>
      </w:r>
      <w:r w:rsidR="00E114DE" w:rsidRPr="00691523">
        <w:rPr>
          <w:b/>
          <w:color w:val="2F5496" w:themeColor="accent1" w:themeShade="BF"/>
          <w:sz w:val="24"/>
          <w:szCs w:val="24"/>
        </w:rPr>
        <w:t>.3</w:t>
      </w:r>
      <w:r w:rsidR="00E114DE" w:rsidRPr="00691523">
        <w:rPr>
          <w:b/>
          <w:color w:val="2F5496" w:themeColor="accent1" w:themeShade="BF"/>
          <w:sz w:val="24"/>
          <w:szCs w:val="24"/>
        </w:rPr>
        <w:tab/>
      </w:r>
      <w:r w:rsidR="00A03C8A" w:rsidRPr="00691523">
        <w:rPr>
          <w:b/>
          <w:color w:val="2F5496" w:themeColor="accent1" w:themeShade="BF"/>
          <w:sz w:val="24"/>
          <w:szCs w:val="24"/>
        </w:rPr>
        <w:t>Canister Sampling Program</w:t>
      </w:r>
    </w:p>
    <w:p w14:paraId="490A44EE" w14:textId="49DFA730" w:rsidR="00151986" w:rsidRDefault="00151986" w:rsidP="00B1065E">
      <w:pPr>
        <w:spacing w:after="60"/>
        <w:ind w:left="720"/>
      </w:pPr>
      <w:r w:rsidRPr="00151986">
        <w:t>Have engaged a chemist</w:t>
      </w:r>
      <w:r>
        <w:t>, Court Sand</w:t>
      </w:r>
      <w:r w:rsidR="001B5C8C">
        <w:t>au</w:t>
      </w:r>
      <w:r w:rsidRPr="00151986">
        <w:t xml:space="preserve"> </w:t>
      </w:r>
      <w:r w:rsidR="00A05438">
        <w:t xml:space="preserve">with Chemistry Matters </w:t>
      </w:r>
      <w:r w:rsidRPr="00151986">
        <w:t xml:space="preserve">to evaluate the isotope program. </w:t>
      </w:r>
      <w:r>
        <w:t xml:space="preserve">Will be arranging a sample collection south of Reno as source signature. Have provided him with </w:t>
      </w:r>
      <w:r w:rsidR="000347C6">
        <w:t>all</w:t>
      </w:r>
      <w:r>
        <w:t xml:space="preserve"> the VOC data from the last few years.</w:t>
      </w:r>
    </w:p>
    <w:p w14:paraId="3B530832" w14:textId="4CFD33BF" w:rsidR="00151986" w:rsidRPr="00151986" w:rsidRDefault="00151986" w:rsidP="00B1065E">
      <w:pPr>
        <w:spacing w:after="60"/>
        <w:ind w:left="720"/>
      </w:pPr>
      <w:r>
        <w:t>Court Sandhow was engaged in evaluation prior to the Hearing so is very familiar with the program</w:t>
      </w:r>
      <w:r w:rsidR="009A2E75">
        <w:t>.</w:t>
      </w:r>
    </w:p>
    <w:p w14:paraId="1AF57196" w14:textId="2A55E696" w:rsidR="00123B72" w:rsidRDefault="00E114DE" w:rsidP="00151986">
      <w:pPr>
        <w:spacing w:after="60"/>
        <w:rPr>
          <w:b/>
          <w:color w:val="2F5496" w:themeColor="accent1" w:themeShade="BF"/>
          <w:sz w:val="24"/>
          <w:szCs w:val="24"/>
        </w:rPr>
      </w:pPr>
      <w:r w:rsidRPr="00E114DE">
        <w:rPr>
          <w:b/>
          <w:color w:val="2F5496" w:themeColor="accent1" w:themeShade="BF"/>
          <w:sz w:val="24"/>
          <w:szCs w:val="24"/>
        </w:rPr>
        <w:t>2.4</w:t>
      </w:r>
      <w:r w:rsidRPr="00E114DE">
        <w:rPr>
          <w:b/>
          <w:color w:val="2F5496" w:themeColor="accent1" w:themeShade="BF"/>
          <w:sz w:val="24"/>
          <w:szCs w:val="24"/>
        </w:rPr>
        <w:tab/>
      </w:r>
      <w:r w:rsidR="00151986">
        <w:rPr>
          <w:b/>
          <w:color w:val="2F5496" w:themeColor="accent1" w:themeShade="BF"/>
          <w:sz w:val="24"/>
          <w:szCs w:val="24"/>
        </w:rPr>
        <w:t>Annual Data Review</w:t>
      </w:r>
    </w:p>
    <w:p w14:paraId="3C7BC183" w14:textId="4854EF4A" w:rsidR="00151986" w:rsidRDefault="00A05438" w:rsidP="00151986">
      <w:pPr>
        <w:pStyle w:val="ListParagraph"/>
        <w:numPr>
          <w:ilvl w:val="0"/>
          <w:numId w:val="27"/>
        </w:numPr>
        <w:spacing w:after="60"/>
        <w:rPr>
          <w:bCs/>
        </w:rPr>
      </w:pPr>
      <w:r>
        <w:rPr>
          <w:bCs/>
        </w:rPr>
        <w:t>The technical program managers (TPMs) intend</w:t>
      </w:r>
      <w:r w:rsidR="00151986">
        <w:rPr>
          <w:bCs/>
        </w:rPr>
        <w:t xml:space="preserve"> to use the same format as last year for the annual data review.</w:t>
      </w:r>
    </w:p>
    <w:p w14:paraId="6DBC3E58" w14:textId="233D503C" w:rsidR="00151986" w:rsidRPr="00151986" w:rsidRDefault="00A05438" w:rsidP="00151986">
      <w:pPr>
        <w:pStyle w:val="ListParagraph"/>
        <w:numPr>
          <w:ilvl w:val="0"/>
          <w:numId w:val="27"/>
        </w:numPr>
        <w:spacing w:after="60"/>
        <w:rPr>
          <w:bCs/>
        </w:rPr>
      </w:pPr>
      <w:r>
        <w:rPr>
          <w:bCs/>
        </w:rPr>
        <w:t>T</w:t>
      </w:r>
      <w:r w:rsidR="00151986">
        <w:rPr>
          <w:bCs/>
        </w:rPr>
        <w:t xml:space="preserve">he </w:t>
      </w:r>
      <w:r w:rsidR="008C4E4F">
        <w:rPr>
          <w:bCs/>
        </w:rPr>
        <w:t xml:space="preserve">technical </w:t>
      </w:r>
      <w:r w:rsidR="00151986">
        <w:rPr>
          <w:bCs/>
        </w:rPr>
        <w:t xml:space="preserve">working group to look at the </w:t>
      </w:r>
      <w:r w:rsidR="008C4E4F">
        <w:rPr>
          <w:bCs/>
        </w:rPr>
        <w:t>2018-</w:t>
      </w:r>
      <w:r w:rsidR="00151986">
        <w:rPr>
          <w:bCs/>
        </w:rPr>
        <w:t>2019 report and provide any comments for the</w:t>
      </w:r>
      <w:r>
        <w:rPr>
          <w:bCs/>
        </w:rPr>
        <w:t xml:space="preserve"> content and structure of the</w:t>
      </w:r>
      <w:r w:rsidR="00151986">
        <w:rPr>
          <w:bCs/>
        </w:rPr>
        <w:t xml:space="preserve"> </w:t>
      </w:r>
      <w:r w:rsidR="008C4E4F">
        <w:rPr>
          <w:bCs/>
        </w:rPr>
        <w:t>2019-</w:t>
      </w:r>
      <w:r w:rsidR="00151986">
        <w:rPr>
          <w:bCs/>
        </w:rPr>
        <w:t>2020 report</w:t>
      </w:r>
      <w:r>
        <w:rPr>
          <w:bCs/>
        </w:rPr>
        <w:t xml:space="preserve"> to the TPMs</w:t>
      </w:r>
      <w:r w:rsidR="000347C6">
        <w:rPr>
          <w:bCs/>
        </w:rPr>
        <w:t>.</w:t>
      </w:r>
    </w:p>
    <w:p w14:paraId="1FADC52B" w14:textId="77777777" w:rsidR="00E17DE1" w:rsidRDefault="00E17DE1" w:rsidP="00E17DE1">
      <w:pPr>
        <w:pStyle w:val="ListParagraph"/>
        <w:spacing w:after="60"/>
        <w:ind w:left="1080"/>
      </w:pPr>
    </w:p>
    <w:p w14:paraId="1B83E5B8" w14:textId="35316B6A" w:rsidR="00151986" w:rsidRDefault="005A4CC3" w:rsidP="005A4CC3">
      <w:pPr>
        <w:pStyle w:val="Heading3"/>
        <w:spacing w:before="60" w:after="60"/>
        <w:rPr>
          <w:rFonts w:ascii="Calibri" w:hAnsi="Calibri" w:cs="Calibri"/>
          <w:b/>
          <w:color w:val="2F5496" w:themeColor="accent1" w:themeShade="BF"/>
        </w:rPr>
      </w:pPr>
      <w:r w:rsidRPr="005A4CC3">
        <w:rPr>
          <w:rFonts w:ascii="Calibri" w:hAnsi="Calibri" w:cs="Calibri"/>
          <w:b/>
          <w:color w:val="2F5496" w:themeColor="accent1" w:themeShade="BF"/>
        </w:rPr>
        <w:t>3</w:t>
      </w:r>
      <w:r w:rsidRPr="005A4CC3">
        <w:rPr>
          <w:rFonts w:ascii="Calibri" w:hAnsi="Calibri" w:cs="Calibri"/>
          <w:b/>
          <w:color w:val="2F5496" w:themeColor="accent1" w:themeShade="BF"/>
        </w:rPr>
        <w:tab/>
      </w:r>
      <w:r w:rsidR="00151986">
        <w:rPr>
          <w:rFonts w:ascii="Calibri" w:hAnsi="Calibri" w:cs="Calibri"/>
          <w:b/>
          <w:color w:val="2F5496" w:themeColor="accent1" w:themeShade="BF"/>
        </w:rPr>
        <w:t>AQHI Station Report</w:t>
      </w:r>
    </w:p>
    <w:p w14:paraId="43F28026" w14:textId="241DB2AF" w:rsidR="00151986" w:rsidRDefault="00151986" w:rsidP="00151986">
      <w:pPr>
        <w:pStyle w:val="ListParagraph"/>
        <w:numPr>
          <w:ilvl w:val="0"/>
          <w:numId w:val="37"/>
        </w:numPr>
      </w:pPr>
      <w:r>
        <w:t>Focus on the monitoring context and the AQHI results</w:t>
      </w:r>
      <w:r w:rsidR="000347C6">
        <w:t>.</w:t>
      </w:r>
    </w:p>
    <w:p w14:paraId="4AE84470" w14:textId="225CB0AD" w:rsidR="00151986" w:rsidRDefault="00151986" w:rsidP="00151986">
      <w:pPr>
        <w:pStyle w:val="ListParagraph"/>
        <w:numPr>
          <w:ilvl w:val="0"/>
          <w:numId w:val="37"/>
        </w:numPr>
      </w:pPr>
      <w:r>
        <w:t>Detailed analysis will be in the annual data review not in this report</w:t>
      </w:r>
      <w:r w:rsidR="000347C6">
        <w:t>.</w:t>
      </w:r>
    </w:p>
    <w:p w14:paraId="7652085F" w14:textId="66A17DFD" w:rsidR="00151986" w:rsidRPr="00151986" w:rsidRDefault="00151986" w:rsidP="00151986">
      <w:pPr>
        <w:pStyle w:val="ListParagraph"/>
        <w:numPr>
          <w:ilvl w:val="0"/>
          <w:numId w:val="37"/>
        </w:numPr>
      </w:pPr>
      <w:r>
        <w:t xml:space="preserve">This report will be significantly shorter than </w:t>
      </w:r>
      <w:r w:rsidR="00027E74">
        <w:t>the annual data report.</w:t>
      </w:r>
    </w:p>
    <w:p w14:paraId="360440BF" w14:textId="0799349B" w:rsidR="00EA59DA" w:rsidRPr="005A4CC3" w:rsidRDefault="005A4CC3" w:rsidP="005A4CC3">
      <w:pPr>
        <w:pStyle w:val="Heading3"/>
        <w:spacing w:before="60" w:after="60"/>
        <w:rPr>
          <w:rFonts w:ascii="Calibri" w:hAnsi="Calibri" w:cs="Calibri"/>
          <w:b/>
          <w:color w:val="2F5496" w:themeColor="accent1" w:themeShade="BF"/>
        </w:rPr>
      </w:pPr>
      <w:r w:rsidRPr="005A4CC3">
        <w:rPr>
          <w:rFonts w:ascii="Calibri" w:hAnsi="Calibri" w:cs="Calibri"/>
          <w:b/>
          <w:color w:val="2F5496" w:themeColor="accent1" w:themeShade="BF"/>
        </w:rPr>
        <w:t>Closing</w:t>
      </w:r>
    </w:p>
    <w:p w14:paraId="7D43682D" w14:textId="203DD570" w:rsidR="00F863A7" w:rsidRPr="007443C2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7443C2">
        <w:rPr>
          <w:b/>
          <w:color w:val="2F5496" w:themeColor="accent1" w:themeShade="BF"/>
          <w:sz w:val="24"/>
          <w:szCs w:val="24"/>
        </w:rPr>
        <w:t>3.1</w:t>
      </w:r>
      <w:r w:rsidRPr="007443C2">
        <w:rPr>
          <w:b/>
          <w:color w:val="2F5496" w:themeColor="accent1" w:themeShade="BF"/>
          <w:sz w:val="24"/>
          <w:szCs w:val="24"/>
        </w:rPr>
        <w:tab/>
        <w:t>Roundtable</w:t>
      </w:r>
    </w:p>
    <w:p w14:paraId="3B0B8133" w14:textId="0F23DD63" w:rsidR="00A06285" w:rsidRDefault="00027E74" w:rsidP="000438AD">
      <w:pPr>
        <w:spacing w:after="60"/>
        <w:ind w:left="540"/>
      </w:pPr>
      <w:bookmarkStart w:id="0" w:name="_Hlk51066682"/>
      <w:r>
        <w:t>Much appreciation of the discussion today. Thanks to Mike and Lily for the preparation for this meeting.</w:t>
      </w:r>
    </w:p>
    <w:bookmarkEnd w:id="0"/>
    <w:p w14:paraId="0B24648D" w14:textId="4EA30E2B" w:rsidR="00E114DE" w:rsidRPr="007443C2" w:rsidRDefault="00E114DE" w:rsidP="005A4CC3">
      <w:pPr>
        <w:spacing w:after="60"/>
        <w:rPr>
          <w:b/>
          <w:color w:val="2F5496" w:themeColor="accent1" w:themeShade="BF"/>
          <w:sz w:val="24"/>
          <w:szCs w:val="24"/>
        </w:rPr>
      </w:pPr>
      <w:r w:rsidRPr="007443C2">
        <w:rPr>
          <w:b/>
          <w:color w:val="2F5496" w:themeColor="accent1" w:themeShade="BF"/>
          <w:sz w:val="24"/>
          <w:szCs w:val="24"/>
        </w:rPr>
        <w:t>3.2</w:t>
      </w:r>
      <w:r w:rsidRPr="007443C2">
        <w:rPr>
          <w:b/>
          <w:color w:val="2F5496" w:themeColor="accent1" w:themeShade="BF"/>
          <w:sz w:val="24"/>
          <w:szCs w:val="24"/>
        </w:rPr>
        <w:tab/>
        <w:t>Next Meeting</w:t>
      </w:r>
    </w:p>
    <w:p w14:paraId="4A2DB194" w14:textId="77992806" w:rsidR="00027E74" w:rsidRPr="00027E74" w:rsidRDefault="00027E74" w:rsidP="002531D8">
      <w:pPr>
        <w:spacing w:after="60"/>
        <w:ind w:left="540"/>
        <w:rPr>
          <w:bCs/>
        </w:rPr>
      </w:pPr>
      <w:r w:rsidRPr="00027E74">
        <w:rPr>
          <w:bCs/>
        </w:rPr>
        <w:t>Three to four weeks; we will doodle for a date.</w:t>
      </w:r>
    </w:p>
    <w:p w14:paraId="7381C31E" w14:textId="6DF0CE78" w:rsidR="00E114DE" w:rsidRPr="007443C2" w:rsidRDefault="007443C2" w:rsidP="005A4CC3">
      <w:pPr>
        <w:spacing w:after="60"/>
        <w:rPr>
          <w:b/>
          <w:color w:val="2F5496" w:themeColor="accent1" w:themeShade="BF"/>
        </w:rPr>
      </w:pPr>
      <w:r w:rsidRPr="007443C2">
        <w:rPr>
          <w:b/>
          <w:color w:val="2F5496" w:themeColor="accent1" w:themeShade="BF"/>
        </w:rPr>
        <w:t>Adjournment</w:t>
      </w:r>
    </w:p>
    <w:p w14:paraId="53474D8D" w14:textId="0F3D8044" w:rsidR="007443C2" w:rsidRDefault="007443C2" w:rsidP="000438AD">
      <w:pPr>
        <w:spacing w:after="60"/>
        <w:ind w:left="540"/>
      </w:pPr>
      <w:r>
        <w:t xml:space="preserve">Meeting adjourned at </w:t>
      </w:r>
      <w:r w:rsidR="002531D8">
        <w:t>3:59</w:t>
      </w:r>
      <w:r w:rsidR="0077351D">
        <w:t xml:space="preserve"> pm </w:t>
      </w:r>
      <w:r w:rsidR="008E736C">
        <w:t xml:space="preserve">by </w:t>
      </w:r>
      <w:r w:rsidR="00A06285">
        <w:t>Karla Reesor</w:t>
      </w:r>
      <w:r w:rsidR="008E736C">
        <w:t>.</w:t>
      </w:r>
    </w:p>
    <w:p w14:paraId="3B901E45" w14:textId="22E60E5E" w:rsidR="00F863A7" w:rsidRDefault="00F863A7" w:rsidP="00F863A7"/>
    <w:tbl>
      <w:tblPr>
        <w:tblW w:w="942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4860"/>
        <w:gridCol w:w="1620"/>
        <w:gridCol w:w="1440"/>
      </w:tblGrid>
      <w:tr w:rsidR="008C4E4F" w14:paraId="12E064CA" w14:textId="77777777" w:rsidTr="008C4E4F">
        <w:trPr>
          <w:trHeight w:val="819"/>
        </w:trPr>
        <w:tc>
          <w:tcPr>
            <w:tcW w:w="1502" w:type="dxa"/>
            <w:tcBorders>
              <w:bottom w:val="single" w:sz="6" w:space="0" w:color="000000"/>
            </w:tcBorders>
          </w:tcPr>
          <w:p w14:paraId="139D640D" w14:textId="4EBA779B" w:rsidR="008C4E4F" w:rsidRPr="00F863A7" w:rsidRDefault="008C4E4F" w:rsidP="00BC0188">
            <w:pPr>
              <w:pStyle w:val="TableParagraph"/>
              <w:spacing w:before="79"/>
              <w:ind w:right="23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Action Item </w:t>
            </w: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4860" w:type="dxa"/>
            <w:tcBorders>
              <w:bottom w:val="single" w:sz="6" w:space="0" w:color="000000"/>
            </w:tcBorders>
          </w:tcPr>
          <w:p w14:paraId="1813F003" w14:textId="77777777" w:rsidR="008C4E4F" w:rsidRPr="00F863A7" w:rsidRDefault="008C4E4F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Action Item Description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1A91B97E" w14:textId="6AF7F019" w:rsidR="008C4E4F" w:rsidRPr="00F863A7" w:rsidRDefault="008C4E4F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Responsible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4FEB59C9" w14:textId="4D9CFC8E" w:rsidR="008C4E4F" w:rsidRPr="00F863A7" w:rsidRDefault="008C4E4F" w:rsidP="00BC0188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8C4E4F" w14:paraId="74BBAD26" w14:textId="77777777" w:rsidTr="000347C6">
        <w:trPr>
          <w:trHeight w:val="383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1EDAC8DB" w14:textId="77777777" w:rsidR="008C4E4F" w:rsidRPr="00F863A7" w:rsidRDefault="008C4E4F" w:rsidP="00BC0188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45875B05" w14:textId="6385CB72" w:rsidR="008C4E4F" w:rsidRPr="00F863A7" w:rsidRDefault="008C4E4F" w:rsidP="00BC0188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New Action Items</w:t>
            </w:r>
          </w:p>
        </w:tc>
      </w:tr>
      <w:tr w:rsidR="008C4E4F" w14:paraId="01A3E5EE" w14:textId="77777777" w:rsidTr="008C4E4F">
        <w:trPr>
          <w:trHeight w:val="599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5EEE7EF1" w14:textId="628B50A5" w:rsidR="008C4E4F" w:rsidRPr="00542A57" w:rsidRDefault="008C4E4F" w:rsidP="00D55E42">
            <w:pPr>
              <w:pStyle w:val="TableParagraph"/>
              <w:spacing w:before="18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42A57">
              <w:rPr>
                <w:rFonts w:asciiTheme="minorHAnsi" w:hAnsiTheme="minorHAnsi" w:cstheme="minorHAnsi"/>
                <w:b/>
                <w:bCs/>
                <w:color w:val="FF0000"/>
              </w:rPr>
              <w:t>2021-04-</w:t>
            </w:r>
            <w:r w:rsidR="000347C6">
              <w:rPr>
                <w:rFonts w:asciiTheme="minorHAnsi" w:hAnsiTheme="minorHAnsi" w:cstheme="minorHAnsi"/>
                <w:b/>
                <w:bCs/>
                <w:color w:val="FF0000"/>
              </w:rPr>
              <w:t>15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7E88D25E" w14:textId="15A1B3E5" w:rsidR="008C4E4F" w:rsidRPr="00542A57" w:rsidRDefault="008C4E4F" w:rsidP="00542A57">
            <w:pPr>
              <w:spacing w:after="60"/>
              <w:rPr>
                <w:rFonts w:cstheme="minorHAnsi"/>
                <w:color w:val="FF0000"/>
              </w:rPr>
            </w:pPr>
            <w:r>
              <w:rPr>
                <w:b/>
                <w:bCs/>
                <w:color w:val="FF0000"/>
              </w:rPr>
              <w:t>T</w:t>
            </w:r>
            <w:r w:rsidRPr="00542A57">
              <w:rPr>
                <w:b/>
                <w:bCs/>
                <w:color w:val="FF0000"/>
              </w:rPr>
              <w:t xml:space="preserve">he order of stations on the dashboard </w:t>
            </w:r>
            <w:r>
              <w:rPr>
                <w:b/>
                <w:bCs/>
                <w:color w:val="FF0000"/>
              </w:rPr>
              <w:t xml:space="preserve">will be changed </w:t>
            </w:r>
            <w:r w:rsidRPr="00542A57">
              <w:rPr>
                <w:b/>
                <w:bCs/>
                <w:color w:val="FF0000"/>
              </w:rPr>
              <w:t>(move the PRC station to the end as we do not have data)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35513218" w14:textId="5315BF11" w:rsidR="008C4E4F" w:rsidRPr="00706FBD" w:rsidRDefault="008C4E4F" w:rsidP="00D55E42">
            <w:pPr>
              <w:pStyle w:val="TableParagraph"/>
              <w:spacing w:before="18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PRAMP TPMs: Mike B and Lily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61FB52C9" w14:textId="4A583760" w:rsidR="008C4E4F" w:rsidRPr="00F863A7" w:rsidRDefault="008C4E4F" w:rsidP="00D55E42">
            <w:pPr>
              <w:pStyle w:val="TableParagraph"/>
              <w:spacing w:before="180"/>
              <w:rPr>
                <w:rFonts w:asciiTheme="minorHAnsi" w:hAnsiTheme="minorHAnsi" w:cstheme="minorHAnsi"/>
                <w:b/>
              </w:rPr>
            </w:pPr>
            <w:r w:rsidRPr="00706FBD">
              <w:rPr>
                <w:rFonts w:asciiTheme="minorHAnsi" w:hAnsiTheme="minorHAnsi" w:cstheme="minorHAnsi"/>
                <w:b/>
                <w:color w:val="FF0000"/>
              </w:rPr>
              <w:t>NEW</w:t>
            </w:r>
          </w:p>
        </w:tc>
      </w:tr>
      <w:tr w:rsidR="008C4E4F" w14:paraId="63AFDD1B" w14:textId="77777777" w:rsidTr="008C4E4F">
        <w:trPr>
          <w:trHeight w:val="372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07B88713" w14:textId="777F0585" w:rsidR="008C4E4F" w:rsidRPr="00542A57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42A57">
              <w:rPr>
                <w:rFonts w:asciiTheme="minorHAnsi" w:hAnsiTheme="minorHAnsi" w:cstheme="minorHAnsi"/>
                <w:b/>
                <w:bCs/>
                <w:color w:val="FF0000"/>
              </w:rPr>
              <w:t>2021-04-</w:t>
            </w:r>
            <w:r w:rsidR="000347C6">
              <w:rPr>
                <w:rFonts w:asciiTheme="minorHAnsi" w:hAnsiTheme="minorHAnsi" w:cstheme="minorHAnsi"/>
                <w:b/>
                <w:bCs/>
                <w:color w:val="FF0000"/>
              </w:rPr>
              <w:t>15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4D228C70" w14:textId="77E79DA6" w:rsidR="008C4E4F" w:rsidRPr="00542A57" w:rsidRDefault="008C4E4F" w:rsidP="00542A57">
            <w:pPr>
              <w:rPr>
                <w:rFonts w:cstheme="minorHAnsi"/>
                <w:color w:val="FF0000"/>
              </w:rPr>
            </w:pPr>
            <w:r w:rsidRPr="008C4E4F">
              <w:rPr>
                <w:b/>
                <w:bCs/>
                <w:color w:val="FF0000"/>
              </w:rPr>
              <w:t>Update the map with current industry facility location information.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7EA360C1" w14:textId="26C1203D" w:rsidR="008C4E4F" w:rsidRPr="00706FBD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PRAMP TPMs: </w:t>
            </w:r>
            <w:r>
              <w:rPr>
                <w:rFonts w:asciiTheme="minorHAnsi" w:hAnsiTheme="minorHAnsi" w:cstheme="minorHAnsi"/>
                <w:b/>
                <w:color w:val="FF0000"/>
              </w:rPr>
              <w:lastRenderedPageBreak/>
              <w:t>Mike B and Lily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4172944B" w14:textId="06FBA2DB" w:rsidR="008C4E4F" w:rsidRPr="00F863A7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706FBD">
              <w:rPr>
                <w:rFonts w:asciiTheme="minorHAnsi" w:hAnsiTheme="minorHAnsi" w:cstheme="minorHAnsi"/>
                <w:b/>
                <w:color w:val="FF0000"/>
              </w:rPr>
              <w:lastRenderedPageBreak/>
              <w:t>NEW</w:t>
            </w:r>
          </w:p>
        </w:tc>
      </w:tr>
      <w:tr w:rsidR="008C4E4F" w14:paraId="3D032B54" w14:textId="77777777" w:rsidTr="008C4E4F">
        <w:trPr>
          <w:trHeight w:val="372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23A08919" w14:textId="0B97F19A" w:rsidR="008C4E4F" w:rsidRPr="00542A57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42A57">
              <w:rPr>
                <w:rFonts w:asciiTheme="minorHAnsi" w:hAnsiTheme="minorHAnsi" w:cstheme="minorHAnsi"/>
                <w:b/>
                <w:bCs/>
                <w:color w:val="FF0000"/>
              </w:rPr>
              <w:t>2021-04-0</w:t>
            </w:r>
            <w:r w:rsidR="000347C6">
              <w:rPr>
                <w:rFonts w:asciiTheme="minorHAnsi" w:hAnsiTheme="minorHAnsi" w:cstheme="minorHAnsi"/>
                <w:b/>
                <w:bCs/>
                <w:color w:val="FF0000"/>
              </w:rPr>
              <w:t>15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60B843C5" w14:textId="67272711" w:rsidR="008C4E4F" w:rsidRPr="00542A57" w:rsidRDefault="008C4E4F" w:rsidP="000347C6">
            <w:pPr>
              <w:spacing w:after="60"/>
              <w:rPr>
                <w:b/>
                <w:bCs/>
                <w:color w:val="FF0000"/>
              </w:rPr>
            </w:pPr>
            <w:r w:rsidRPr="008C4E4F">
              <w:rPr>
                <w:b/>
                <w:bCs/>
                <w:color w:val="FF0000"/>
              </w:rPr>
              <w:t>AEP will pull share emissions and modelling information with PRAMP.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5E4E5380" w14:textId="67A5848B" w:rsidR="008C4E4F" w:rsidRPr="00043E42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AEP: Madhan 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180CC58B" w14:textId="5CC3CAF7" w:rsidR="008C4E4F" w:rsidRPr="00706FBD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  <w:b/>
                <w:color w:val="FF0000"/>
              </w:rPr>
            </w:pPr>
            <w:r w:rsidRPr="00043E42">
              <w:rPr>
                <w:rFonts w:asciiTheme="minorHAnsi" w:hAnsiTheme="minorHAnsi" w:cstheme="minorHAnsi"/>
                <w:b/>
                <w:color w:val="FF0000"/>
              </w:rPr>
              <w:t>NEW</w:t>
            </w:r>
          </w:p>
        </w:tc>
      </w:tr>
      <w:tr w:rsidR="008C4E4F" w14:paraId="29D72B1F" w14:textId="77777777" w:rsidTr="000347C6">
        <w:trPr>
          <w:trHeight w:val="385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682C9AEB" w14:textId="77777777" w:rsidR="008C4E4F" w:rsidRPr="00F863A7" w:rsidRDefault="008C4E4F" w:rsidP="00385EE8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2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6AF73C74" w14:textId="79FFDF76" w:rsidR="008C4E4F" w:rsidRPr="00F863A7" w:rsidRDefault="008C4E4F" w:rsidP="00385EE8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Completed Action Items</w:t>
            </w:r>
          </w:p>
        </w:tc>
      </w:tr>
      <w:tr w:rsidR="008C4E4F" w14:paraId="5131ED56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42BC5CDA" w14:textId="2B8FBA67" w:rsidR="008C4E4F" w:rsidRPr="00542A57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2020-12-01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4F42E100" w14:textId="43EED7A9" w:rsidR="008C4E4F" w:rsidRPr="00542A57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Karla will develop a letter to send to our partners and stakeholders about the criteria on setting up the portable AQHI monitor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3E492EF6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53BE939E" w14:textId="12400D41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4F884112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036AED63" w14:textId="3CD44ADB" w:rsidR="008C4E4F" w:rsidRPr="00542A57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2020-12-02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3821AD15" w14:textId="374892F1" w:rsidR="008C4E4F" w:rsidRPr="00542A57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42A57">
              <w:rPr>
                <w:rFonts w:asciiTheme="minorHAnsi" w:hAnsiTheme="minorHAnsi" w:cstheme="minorHAnsi"/>
              </w:rPr>
              <w:t>Karla will provide Gaylene Whitehead with the membership form.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1B6376D4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7EF9C85B" w14:textId="189B5DA0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5B405290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5D060CE5" w14:textId="58B7CA1A" w:rsidR="008C4E4F" w:rsidRPr="00B03094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03094">
              <w:rPr>
                <w:rFonts w:asciiTheme="minorHAnsi" w:hAnsiTheme="minorHAnsi" w:cstheme="minorHAnsi"/>
              </w:rPr>
              <w:t>2020-09-01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4C298EF9" w14:textId="1DD13F4C" w:rsidR="008C4E4F" w:rsidRPr="00B03094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03094">
              <w:rPr>
                <w:rFonts w:asciiTheme="minorHAnsi" w:hAnsiTheme="minorHAnsi" w:cstheme="minorHAnsi"/>
              </w:rPr>
              <w:t>Mike and Lily will get a quote for the removal of the trees at the current Reno monitoring site, and review all other costs; including power and road upgrade the site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0F359B77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715EC1DE" w14:textId="51D2633A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5AA3989A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4DAC5453" w14:textId="7F75FB5B" w:rsidR="008C4E4F" w:rsidRPr="00B03094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03094">
              <w:rPr>
                <w:rFonts w:asciiTheme="minorHAnsi" w:hAnsiTheme="minorHAnsi" w:cstheme="minorHAnsi"/>
              </w:rPr>
              <w:t>2020-09-02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672BD136" w14:textId="2D90CC06" w:rsidR="008C4E4F" w:rsidRPr="00B03094" w:rsidRDefault="008C4E4F" w:rsidP="00542A57">
            <w:pPr>
              <w:spacing w:after="60"/>
              <w:rPr>
                <w:rFonts w:cstheme="minorHAnsi"/>
              </w:rPr>
            </w:pPr>
            <w:r w:rsidRPr="00B03094">
              <w:rPr>
                <w:rFonts w:cstheme="minorHAnsi"/>
              </w:rPr>
              <w:t>Mike will ask the landowner if it would be possible to site the new Reno station across the road from the location originally looked at.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25629E89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1705F563" w14:textId="1699CD38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5995A26D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0DE5750D" w14:textId="05EBFA52" w:rsidR="008C4E4F" w:rsidRPr="004870D8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2019-12-01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36C837FC" w14:textId="48EEC513" w:rsidR="008C4E4F" w:rsidRPr="004870D8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Mike and Lily will develop a proposal for a co-deployment with objective to address siting issues at Reno.  Timeline is end of January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7026FDBF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3A18843B" w14:textId="5368A24B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1FEEC3C6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58DF6EF9" w14:textId="0B0B46F8" w:rsidR="008C4E4F" w:rsidRPr="004870D8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2019-12-02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0EB1301D" w14:textId="4AAE3C22" w:rsidR="008C4E4F" w:rsidRPr="004870D8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4870D8">
              <w:rPr>
                <w:rFonts w:asciiTheme="minorHAnsi" w:hAnsiTheme="minorHAnsi" w:cstheme="minorHAnsi"/>
              </w:rPr>
              <w:t>Mike will follow up with Elvis about the tree issue at Woodland Cree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3E4AFCBF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3E8F70FF" w14:textId="22E174CF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46633C3E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1C20D9D4" w14:textId="403B1950" w:rsidR="008C4E4F" w:rsidRPr="000438AD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2019-05-01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335151FD" w14:textId="3646FA70" w:rsidR="008C4E4F" w:rsidRPr="000438AD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Mike will talk to Corinna Williams to see if the County will willing to do dust control at preferred AQHI trailer site at Codette Lake.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675392E8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51C324AF" w14:textId="5DCEF32B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410D02D1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680AFB3A" w14:textId="5C027580" w:rsidR="008C4E4F" w:rsidRPr="000438AD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2019-05-02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0854BEB5" w14:textId="65628F08" w:rsidR="008C4E4F" w:rsidRPr="000438AD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0438AD">
              <w:rPr>
                <w:rFonts w:asciiTheme="minorHAnsi" w:hAnsiTheme="minorHAnsi" w:cstheme="minorHAnsi"/>
              </w:rPr>
              <w:t>Karla will speak to CNRL to see what they wish to do with the power meter at 986B.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534424DE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3624E90A" w14:textId="0C37C9C4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5C71BC92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641224E5" w14:textId="5661D882" w:rsidR="008C4E4F" w:rsidRPr="003B5305" w:rsidRDefault="008C4E4F" w:rsidP="00542A57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271E5091" w14:textId="02BBDB75" w:rsidR="008C4E4F" w:rsidRPr="003B5305" w:rsidRDefault="008C4E4F" w:rsidP="00542A57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bookmarkStart w:id="1" w:name="_Hlk8764948"/>
            <w:r w:rsidRPr="003B5305">
              <w:rPr>
                <w:rFonts w:ascii="Calibri" w:hAnsi="Calibri" w:cs="Calibri"/>
              </w:rPr>
              <w:t xml:space="preserve">Mike will follow up with the other property owners (where stations are located) and discuss the option of payment for land rental. </w:t>
            </w:r>
            <w:bookmarkEnd w:id="1"/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5D01673F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51058951" w14:textId="7847291E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311D542C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125C0635" w14:textId="7BDEBE04" w:rsidR="008C4E4F" w:rsidRPr="003B5305" w:rsidRDefault="008C4E4F" w:rsidP="00542A57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6F66D892" w14:textId="2B2C873C" w:rsidR="008C4E4F" w:rsidRPr="003B5305" w:rsidRDefault="008C4E4F" w:rsidP="00542A57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 xml:space="preserve">Lily and Mike will explore the cost of adding precipitation readings (rain gauges) to the entire network. 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2BC99691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578F5784" w14:textId="19E2C5C3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178F188F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4D32E111" w14:textId="664CC2DD" w:rsidR="008C4E4F" w:rsidRPr="003B5305" w:rsidRDefault="008C4E4F" w:rsidP="00542A57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33F13526" w14:textId="29DC8FB9" w:rsidR="008C4E4F" w:rsidRPr="003B5305" w:rsidRDefault="008C4E4F" w:rsidP="00542A57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>Mike and Lily will prepare a one page document on recommended site for the AQHI trailer for Board, members and municipalities.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37AD23A0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4790C2D4" w14:textId="6FA21283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65845903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67ADDBBF" w14:textId="0D827437" w:rsidR="008C4E4F" w:rsidRPr="003B5305" w:rsidRDefault="008C4E4F" w:rsidP="00542A57">
            <w:pPr>
              <w:pStyle w:val="TableParagraph"/>
              <w:spacing w:before="178"/>
              <w:rPr>
                <w:rFonts w:ascii="Calibri" w:hAnsi="Calibri" w:cs="Calibri"/>
              </w:rPr>
            </w:pPr>
            <w:r w:rsidRPr="003B5305">
              <w:rPr>
                <w:rFonts w:ascii="Calibri" w:hAnsi="Calibri" w:cs="Calibri"/>
              </w:rPr>
              <w:t>2019-01-01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13D41843" w14:textId="60B12ACF" w:rsidR="008C4E4F" w:rsidRPr="003B5305" w:rsidRDefault="008C4E4F" w:rsidP="00542A57">
            <w:pPr>
              <w:pStyle w:val="TableParagraph"/>
              <w:spacing w:before="178"/>
              <w:rPr>
                <w:rFonts w:ascii="Calibri" w:hAnsi="Calibri" w:cs="Calibri"/>
                <w:b/>
              </w:rPr>
            </w:pPr>
            <w:r w:rsidRPr="003B5305">
              <w:rPr>
                <w:rFonts w:ascii="Calibri" w:hAnsi="Calibri" w:cs="Calibri"/>
              </w:rPr>
              <w:t>Mike and Karla will look into the information to be provided to AER on background canisters.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15A077EC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4AB38F11" w14:textId="083C8AAB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7BB1F45C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475E3200" w14:textId="5F37D64B" w:rsidR="008C4E4F" w:rsidRPr="00A03C8A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lastRenderedPageBreak/>
              <w:t>2018-11-01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03B11274" w14:textId="7C24EE2F" w:rsidR="008C4E4F" w:rsidRPr="00A03C8A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PRAMP</w:t>
            </w:r>
            <w:r w:rsidRPr="00A03C8A">
              <w:rPr>
                <w:rFonts w:asciiTheme="minorHAnsi" w:hAnsiTheme="minorHAnsi" w:cstheme="minorHAnsi"/>
              </w:rPr>
              <w:t xml:space="preserve"> staff will continue to work with legal counsel to develop a new contract with Maxxam going forward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5C50A99D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3B1DA78F" w14:textId="48255C3F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5D05C032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74F85E56" w14:textId="2FD27357" w:rsidR="008C4E4F" w:rsidRPr="00A03C8A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2018-11-02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7747FF40" w14:textId="379FAA98" w:rsidR="008C4E4F" w:rsidRPr="00A03C8A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Mike and Lily</w:t>
            </w:r>
            <w:r w:rsidRPr="00A03C8A">
              <w:rPr>
                <w:rFonts w:asciiTheme="minorHAnsi" w:hAnsiTheme="minorHAnsi" w:cstheme="minorHAnsi"/>
              </w:rPr>
              <w:t xml:space="preserve"> to pursue option 1 and move on to second if it doesn’t work out for relocation of station 986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7CBEF40B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20183DC0" w14:textId="1D87C5E0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05C399A7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40AB2903" w14:textId="036068D5" w:rsidR="008C4E4F" w:rsidRPr="00A03C8A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2018-11-03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015132AF" w14:textId="24A25E2A" w:rsidR="008C4E4F" w:rsidRPr="00A03C8A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Lily and Mike</w:t>
            </w:r>
            <w:r w:rsidRPr="00A03C8A">
              <w:rPr>
                <w:rFonts w:asciiTheme="minorHAnsi" w:hAnsiTheme="minorHAnsi" w:cstheme="minorHAnsi"/>
              </w:rPr>
              <w:t xml:space="preserve"> will apply the matrix to the sites identified within the TWG for the siting of the portable monitor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140B190E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231207D7" w14:textId="44A549C0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670B5117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3BEA52C7" w14:textId="0403403C" w:rsidR="008C4E4F" w:rsidRPr="00A03C8A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2018-11-04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277679D8" w14:textId="0BC40282" w:rsidR="008C4E4F" w:rsidRPr="00A03C8A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Lily</w:t>
            </w:r>
            <w:r w:rsidRPr="00A03C8A">
              <w:rPr>
                <w:rFonts w:asciiTheme="minorHAnsi" w:hAnsiTheme="minorHAnsi" w:cstheme="minorHAnsi"/>
              </w:rPr>
              <w:t xml:space="preserve"> will send the siting requirement document for the portable monitor to Elvis Thomas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35E50F45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072D11AA" w14:textId="08CCDA72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2EC07AAB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3832D13F" w14:textId="79A0FE5A" w:rsidR="008C4E4F" w:rsidRPr="00A03C8A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2018-11-05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10923B53" w14:textId="304ACDB0" w:rsidR="008C4E4F" w:rsidRPr="00A03C8A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Krista</w:t>
            </w:r>
            <w:r w:rsidRPr="00A03C8A">
              <w:rPr>
                <w:rFonts w:asciiTheme="minorHAnsi" w:hAnsiTheme="minorHAnsi" w:cstheme="minorHAnsi"/>
              </w:rPr>
              <w:t xml:space="preserve"> will request a comprehensive document of the canister sampling program including the review of each canister with Laurie Cheperdak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02C46027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54FAA609" w14:textId="2F87AB53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56E7A0F9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292EABF8" w14:textId="40C1B0AE" w:rsidR="008C4E4F" w:rsidRPr="00A03C8A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</w:rPr>
              <w:t>2018-11-06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7E880542" w14:textId="61A3D196" w:rsidR="008C4E4F" w:rsidRPr="00A03C8A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A03C8A">
              <w:rPr>
                <w:rFonts w:asciiTheme="minorHAnsi" w:hAnsiTheme="minorHAnsi" w:cstheme="minorHAnsi"/>
                <w:b/>
              </w:rPr>
              <w:t>Brenda</w:t>
            </w:r>
            <w:r w:rsidRPr="00A03C8A">
              <w:rPr>
                <w:rFonts w:asciiTheme="minorHAnsi" w:hAnsiTheme="minorHAnsi" w:cstheme="minorHAnsi"/>
              </w:rPr>
              <w:t xml:space="preserve"> will provide Laurie Cheperdak’s email address to TWG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7A9BB334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433EAFB6" w14:textId="42A97935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73034BFE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494DCA2D" w14:textId="7F73B5C2" w:rsidR="008C4E4F" w:rsidRPr="005A5FB4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2018-06-01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4851F517" w14:textId="1510C119" w:rsidR="008C4E4F" w:rsidRPr="005A5FB4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make a recommendation on a methane-based trigger for the canister program. The same trigger will be set at all the stations.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4CFB6AE5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0B345DE8" w14:textId="4236D7A3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60886C6E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608750BF" w14:textId="4CF0817A" w:rsidR="008C4E4F" w:rsidRPr="005A5FB4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2018-06-02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4231AACB" w14:textId="41A4059A" w:rsidR="008C4E4F" w:rsidRPr="005A5FB4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review the relationship between TRS and NHMC concentrations and report back to the TWG at the next meeting.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217FAEF7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06720DCF" w14:textId="6440B57F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499DB3FA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6CB49492" w14:textId="2B37BBAA" w:rsidR="008C4E4F" w:rsidRPr="005A5FB4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2018-06-02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66B4925B" w14:textId="142730D8" w:rsidR="008C4E4F" w:rsidRPr="005A5FB4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>Mike and Lily will research the additional cost to continuously monitor VOCs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44E643AB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385FADDC" w14:textId="3A680DCD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5AE8A748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420E5C9B" w14:textId="3AC9C3EB" w:rsidR="008C4E4F" w:rsidRPr="005A5FB4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2018-06-03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3C037788" w14:textId="696DD088" w:rsidR="008C4E4F" w:rsidRPr="005A5FB4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  <w:b/>
              </w:rPr>
              <w:t xml:space="preserve">Maxxam </w:t>
            </w:r>
            <w:r w:rsidRPr="005A5FB4">
              <w:rPr>
                <w:rFonts w:asciiTheme="minorHAnsi" w:hAnsiTheme="minorHAnsi" w:cstheme="minorHAnsi"/>
              </w:rPr>
              <w:t>will put a disclaimer that the data is raw on the dashboards going forward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44E18DD7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6C0D7259" w14:textId="50BEDAED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784DBA99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2A66652D" w14:textId="70EF07D2" w:rsidR="008C4E4F" w:rsidRPr="005A5FB4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5A5FB4">
              <w:rPr>
                <w:rFonts w:asciiTheme="minorHAnsi" w:hAnsiTheme="minorHAnsi" w:cstheme="minorHAnsi"/>
              </w:rPr>
              <w:t>2018-06-04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35443807" w14:textId="1D0BF495" w:rsidR="008C4E4F" w:rsidRPr="005A5FB4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5A5FB4">
              <w:rPr>
                <w:rFonts w:asciiTheme="minorHAnsi" w:hAnsiTheme="minorHAnsi" w:cstheme="minorHAnsi"/>
              </w:rPr>
              <w:t xml:space="preserve">The </w:t>
            </w:r>
            <w:r w:rsidRPr="005A5FB4">
              <w:rPr>
                <w:rFonts w:asciiTheme="minorHAnsi" w:hAnsiTheme="minorHAnsi" w:cstheme="minorHAnsi"/>
                <w:b/>
              </w:rPr>
              <w:t>TWG</w:t>
            </w:r>
            <w:r w:rsidRPr="005A5FB4">
              <w:rPr>
                <w:rFonts w:asciiTheme="minorHAnsi" w:hAnsiTheme="minorHAnsi" w:cstheme="minorHAnsi"/>
              </w:rPr>
              <w:t xml:space="preserve"> will review the Portable Station Locating Procedure prior to the September meeting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768F2B5F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152645BA" w14:textId="1C0B3F7C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1AA9F55B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6AF5BD36" w14:textId="2C949FFD" w:rsidR="008C4E4F" w:rsidRPr="00ED079D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2018-03-01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7068B1FB" w14:textId="5CCA7A89" w:rsidR="008C4E4F" w:rsidRPr="00ED079D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 xml:space="preserve">will talk to </w:t>
            </w:r>
            <w:r w:rsidRPr="00ED079D">
              <w:rPr>
                <w:rFonts w:asciiTheme="minorHAnsi" w:hAnsiTheme="minorHAnsi" w:cstheme="minorHAnsi"/>
                <w:b/>
              </w:rPr>
              <w:t xml:space="preserve">Bob Myrick </w:t>
            </w:r>
            <w:r w:rsidRPr="00ED079D">
              <w:rPr>
                <w:rFonts w:asciiTheme="minorHAnsi" w:hAnsiTheme="minorHAnsi" w:cstheme="minorHAnsi"/>
              </w:rPr>
              <w:t>about adding the government logo to the signs.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59CCD34D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7B80E3A4" w14:textId="6D7FC59C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681948A6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05365165" w14:textId="5ECBBA80" w:rsidR="008C4E4F" w:rsidRPr="00ED079D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2018-03-02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0FDD3F0D" w14:textId="48BEAD72" w:rsidR="008C4E4F" w:rsidRPr="00ED079D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Karla </w:t>
            </w:r>
            <w:r w:rsidRPr="00ED079D">
              <w:rPr>
                <w:rFonts w:asciiTheme="minorHAnsi" w:hAnsiTheme="minorHAnsi" w:cstheme="minorHAnsi"/>
              </w:rPr>
              <w:t xml:space="preserve">and </w:t>
            </w:r>
            <w:r w:rsidRPr="00ED079D">
              <w:rPr>
                <w:rFonts w:asciiTheme="minorHAnsi" w:hAnsiTheme="minorHAnsi" w:cstheme="minorHAnsi"/>
                <w:b/>
              </w:rPr>
              <w:t xml:space="preserve">Brenda </w:t>
            </w:r>
            <w:r w:rsidRPr="00ED079D">
              <w:rPr>
                <w:rFonts w:asciiTheme="minorHAnsi" w:hAnsiTheme="minorHAnsi" w:cstheme="minorHAnsi"/>
              </w:rPr>
              <w:t>will research a menu option phone number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3C3AF23B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35C88168" w14:textId="21D324E4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36E33EF3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2D04E84A" w14:textId="5610CC4C" w:rsidR="008C4E4F" w:rsidRPr="00ED079D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2018-03-03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30502C83" w14:textId="5D7A704D" w:rsidR="008C4E4F" w:rsidRPr="00ED079D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>will review the history of data and based on conversations today will come back with a recommendation.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04EBF83B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0EC857F6" w14:textId="3C6B8C23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17A58937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46F2CE2A" w14:textId="3D331B01" w:rsidR="008C4E4F" w:rsidRPr="00ED079D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2018-01-05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6BDBEB96" w14:textId="6C9FD7D1" w:rsidR="008C4E4F" w:rsidRPr="00ED079D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 xml:space="preserve">will come back to the TWG with </w:t>
            </w:r>
            <w:r w:rsidRPr="00ED079D">
              <w:rPr>
                <w:rFonts w:asciiTheme="minorHAnsi" w:hAnsiTheme="minorHAnsi" w:cstheme="minorHAnsi"/>
              </w:rPr>
              <w:lastRenderedPageBreak/>
              <w:t>recommendations on reasonable trigger levels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3E10AB02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6EE9BA86" w14:textId="6B9E96EB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76A25FAC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3E9E1D34" w14:textId="77777777" w:rsidR="008C4E4F" w:rsidRPr="00F863A7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2018-01-01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52D31EAB" w14:textId="77777777" w:rsidR="008C4E4F" w:rsidRPr="00F863A7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Maxxam </w:t>
            </w:r>
            <w:r w:rsidRPr="00F863A7">
              <w:rPr>
                <w:rFonts w:asciiTheme="minorHAnsi" w:hAnsiTheme="minorHAnsi" w:cstheme="minorHAnsi"/>
              </w:rPr>
              <w:t>will trigger the canisters that are set to expire as a test.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01EB1174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084C6A9B" w14:textId="207D4C76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68BCFA5A" w14:textId="77777777" w:rsidTr="008C4E4F">
        <w:trPr>
          <w:trHeight w:val="608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4E3D3F7F" w14:textId="77777777" w:rsidR="008C4E4F" w:rsidRPr="00F863A7" w:rsidRDefault="008C4E4F" w:rsidP="00542A57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2018-01-02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1EB9C846" w14:textId="77777777" w:rsidR="008C4E4F" w:rsidRPr="00F863A7" w:rsidRDefault="008C4E4F" w:rsidP="00542A57">
            <w:pPr>
              <w:pStyle w:val="TableParagraph"/>
              <w:spacing w:before="181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resend the sensor drawings to Reid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28E8B217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5844F6CD" w14:textId="320946AA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51756B74" w14:textId="77777777" w:rsidTr="008C4E4F">
        <w:trPr>
          <w:trHeight w:val="606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34DD2D68" w14:textId="77777777" w:rsidR="008C4E4F" w:rsidRPr="00F863A7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2018-01-03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2423B90A" w14:textId="77777777" w:rsidR="008C4E4F" w:rsidRPr="00F863A7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do research on signs and/or wraps for the stations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122C5BEF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097E6856" w14:textId="0204EE08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3411AFCC" w14:textId="77777777" w:rsidTr="008C4E4F">
        <w:trPr>
          <w:trHeight w:val="608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20A83488" w14:textId="77777777" w:rsidR="008C4E4F" w:rsidRPr="00F863A7" w:rsidRDefault="008C4E4F" w:rsidP="00542A57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2018-01-04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6FF414C1" w14:textId="77777777" w:rsidR="008C4E4F" w:rsidRPr="00F863A7" w:rsidRDefault="008C4E4F" w:rsidP="00542A57">
            <w:pPr>
              <w:pStyle w:val="TableParagraph"/>
              <w:spacing w:before="181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look into a second trigger on canisters related to hydro-carbons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1C550B7B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01CD17AB" w14:textId="4ACFAE0D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6021DB05" w14:textId="77777777" w:rsidTr="008C4E4F">
        <w:trPr>
          <w:trHeight w:val="815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2591F330" w14:textId="77777777" w:rsidR="008C4E4F" w:rsidRPr="00F863A7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2017-11-01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6B2B4D41" w14:textId="77777777" w:rsidR="008C4E4F" w:rsidRPr="00F863A7" w:rsidRDefault="008C4E4F" w:rsidP="00542A57">
            <w:pPr>
              <w:pStyle w:val="TableParagraph"/>
              <w:spacing w:before="175" w:line="242" w:lineRule="auto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add the approval process to the TORs. Will send with the draft minutes for approval.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53A318ED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773FA820" w14:textId="05A63099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7C499E66" w14:textId="77777777" w:rsidTr="008C4E4F">
        <w:trPr>
          <w:trHeight w:val="812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0DDC315A" w14:textId="77777777" w:rsidR="008C4E4F" w:rsidRPr="00F863A7" w:rsidRDefault="008C4E4F" w:rsidP="00542A57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2017-11-02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535DF7B3" w14:textId="77777777" w:rsidR="008C4E4F" w:rsidRPr="00F863A7" w:rsidRDefault="008C4E4F" w:rsidP="00542A57">
            <w:pPr>
              <w:pStyle w:val="TableParagraph"/>
              <w:spacing w:before="175" w:line="242" w:lineRule="auto"/>
              <w:ind w:right="457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make a recommendation to the Board on the procedures for the TWG to report to the Board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2487732C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56F47C19" w14:textId="3300108B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C4E4F" w14:paraId="1AEC204F" w14:textId="77777777" w:rsidTr="008C4E4F">
        <w:trPr>
          <w:trHeight w:val="820"/>
        </w:trPr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2F4EAEA9" w14:textId="77777777" w:rsidR="008C4E4F" w:rsidRPr="00F863A7" w:rsidRDefault="008C4E4F" w:rsidP="00542A57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2017-11-03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</w:tcBorders>
          </w:tcPr>
          <w:p w14:paraId="788F49C1" w14:textId="77777777" w:rsidR="008C4E4F" w:rsidRPr="00F863A7" w:rsidRDefault="008C4E4F" w:rsidP="00542A57">
            <w:pPr>
              <w:pStyle w:val="TableParagraph"/>
              <w:spacing w:before="178"/>
              <w:ind w:right="479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Lily </w:t>
            </w:r>
            <w:r w:rsidRPr="00F863A7">
              <w:rPr>
                <w:rFonts w:asciiTheme="minorHAnsi" w:hAnsiTheme="minorHAnsi" w:cstheme="minorHAnsi"/>
              </w:rPr>
              <w:t xml:space="preserve">will ask Maxxam to provide a system design including the location of the new sensor. The </w:t>
            </w:r>
            <w:r w:rsidRPr="00F863A7">
              <w:rPr>
                <w:rFonts w:asciiTheme="minorHAnsi" w:hAnsiTheme="minorHAnsi" w:cstheme="minorHAnsi"/>
                <w:b/>
              </w:rPr>
              <w:t xml:space="preserve">TWG </w:t>
            </w:r>
            <w:r w:rsidRPr="00F863A7">
              <w:rPr>
                <w:rFonts w:asciiTheme="minorHAnsi" w:hAnsiTheme="minorHAnsi" w:cstheme="minorHAnsi"/>
              </w:rPr>
              <w:t>will approve via email before Maxxam does the installation.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14:paraId="4DAA9AB0" w14:textId="77777777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2C0D7271" w14:textId="7B5A2E2E" w:rsidR="008C4E4F" w:rsidRPr="00F863A7" w:rsidRDefault="008C4E4F" w:rsidP="00542A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EC1E2B2" w14:textId="77777777" w:rsidR="00F863A7" w:rsidRPr="00F863A7" w:rsidRDefault="00F863A7" w:rsidP="00F863A7"/>
    <w:sectPr w:rsidR="00F863A7" w:rsidRPr="00F863A7" w:rsidSect="00ED079D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CCF4" w14:textId="77777777" w:rsidR="006B5E0E" w:rsidRDefault="006B5E0E" w:rsidP="00ED079D">
      <w:r>
        <w:separator/>
      </w:r>
    </w:p>
  </w:endnote>
  <w:endnote w:type="continuationSeparator" w:id="0">
    <w:p w14:paraId="6B76B565" w14:textId="77777777" w:rsidR="006B5E0E" w:rsidRDefault="006B5E0E" w:rsidP="00E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2E63" w14:textId="77777777" w:rsidR="006B5E0E" w:rsidRDefault="006B5E0E" w:rsidP="00ED079D">
      <w:r>
        <w:separator/>
      </w:r>
    </w:p>
  </w:footnote>
  <w:footnote w:type="continuationSeparator" w:id="0">
    <w:p w14:paraId="18CA062F" w14:textId="77777777" w:rsidR="006B5E0E" w:rsidRDefault="006B5E0E" w:rsidP="00E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8"/>
        <w:szCs w:val="18"/>
      </w:rPr>
      <w:id w:val="98381352"/>
      <w:docPartObj>
        <w:docPartGallery w:val="Page Numbers (Top of Page)"/>
        <w:docPartUnique/>
      </w:docPartObj>
    </w:sdtPr>
    <w:sdtEndPr/>
    <w:sdtContent>
      <w:p w14:paraId="24D7D71D" w14:textId="77777777" w:rsidR="00ED079D" w:rsidRPr="00ED079D" w:rsidRDefault="00ED079D">
        <w:pPr>
          <w:pStyle w:val="Header"/>
          <w:rPr>
            <w:b/>
            <w:bCs/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 xml:space="preserve">Page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PAGE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Pr="00ED079D">
          <w:rPr>
            <w:bCs/>
            <w:noProof/>
            <w:color w:val="808080" w:themeColor="background1" w:themeShade="80"/>
            <w:sz w:val="18"/>
            <w:szCs w:val="18"/>
          </w:rPr>
          <w:t>2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  <w:r w:rsidRPr="00ED079D">
          <w:rPr>
            <w:color w:val="808080" w:themeColor="background1" w:themeShade="80"/>
            <w:sz w:val="18"/>
            <w:szCs w:val="18"/>
          </w:rPr>
          <w:t xml:space="preserve"> of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NUMPAGES 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Pr="00ED079D">
          <w:rPr>
            <w:bCs/>
            <w:noProof/>
            <w:color w:val="808080" w:themeColor="background1" w:themeShade="80"/>
            <w:sz w:val="18"/>
            <w:szCs w:val="18"/>
          </w:rPr>
          <w:t>2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</w:p>
      <w:p w14:paraId="7CBE3A7D" w14:textId="77777777" w:rsidR="00ED079D" w:rsidRPr="00ED079D" w:rsidRDefault="00ED079D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>PRAMP TWG</w:t>
        </w:r>
      </w:p>
      <w:p w14:paraId="1D865588" w14:textId="2701B0DD" w:rsidR="00ED079D" w:rsidRPr="00ED079D" w:rsidRDefault="00ED079D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 xml:space="preserve">Meeting date: </w:t>
        </w:r>
        <w:r w:rsidR="00476BA2">
          <w:rPr>
            <w:color w:val="808080" w:themeColor="background1" w:themeShade="80"/>
            <w:sz w:val="18"/>
            <w:szCs w:val="18"/>
          </w:rPr>
          <w:t>April 15, 2021</w:t>
        </w:r>
      </w:p>
    </w:sdtContent>
  </w:sdt>
  <w:p w14:paraId="38801C9A" w14:textId="77777777" w:rsidR="00ED079D" w:rsidRDefault="00ED0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C34"/>
    <w:multiLevelType w:val="hybridMultilevel"/>
    <w:tmpl w:val="7CDA41FA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6FCB"/>
    <w:multiLevelType w:val="hybridMultilevel"/>
    <w:tmpl w:val="434AE41C"/>
    <w:lvl w:ilvl="0" w:tplc="F662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1035"/>
    <w:multiLevelType w:val="hybridMultilevel"/>
    <w:tmpl w:val="2D34AC08"/>
    <w:lvl w:ilvl="0" w:tplc="5C3024FE">
      <w:numFmt w:val="bullet"/>
      <w:lvlText w:val="•"/>
      <w:lvlJc w:val="left"/>
      <w:pPr>
        <w:ind w:left="144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71B13"/>
    <w:multiLevelType w:val="hybridMultilevel"/>
    <w:tmpl w:val="E83CEB28"/>
    <w:lvl w:ilvl="0" w:tplc="FF388D80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004"/>
    <w:multiLevelType w:val="hybridMultilevel"/>
    <w:tmpl w:val="167CE832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3C6C"/>
    <w:multiLevelType w:val="hybridMultilevel"/>
    <w:tmpl w:val="7EE8EB0E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3FD7541"/>
    <w:multiLevelType w:val="hybridMultilevel"/>
    <w:tmpl w:val="FB9E6FFE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8F3"/>
    <w:multiLevelType w:val="hybridMultilevel"/>
    <w:tmpl w:val="7EB6B4C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EE6BC7"/>
    <w:multiLevelType w:val="hybridMultilevel"/>
    <w:tmpl w:val="026C33FE"/>
    <w:lvl w:ilvl="0" w:tplc="5C3024FE">
      <w:numFmt w:val="bullet"/>
      <w:lvlText w:val="•"/>
      <w:lvlJc w:val="left"/>
      <w:pPr>
        <w:ind w:left="77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CF9230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3A5FAD"/>
    <w:multiLevelType w:val="hybridMultilevel"/>
    <w:tmpl w:val="19DA19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6210F"/>
    <w:multiLevelType w:val="hybridMultilevel"/>
    <w:tmpl w:val="742E915E"/>
    <w:lvl w:ilvl="0" w:tplc="5C3024FE">
      <w:numFmt w:val="bullet"/>
      <w:lvlText w:val="•"/>
      <w:lvlJc w:val="left"/>
      <w:pPr>
        <w:ind w:left="180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D16AEE"/>
    <w:multiLevelType w:val="hybridMultilevel"/>
    <w:tmpl w:val="E5849A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01795B"/>
    <w:multiLevelType w:val="hybridMultilevel"/>
    <w:tmpl w:val="F09A035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3E2148"/>
    <w:multiLevelType w:val="hybridMultilevel"/>
    <w:tmpl w:val="DBB8CE76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077C7F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414BA"/>
    <w:multiLevelType w:val="hybridMultilevel"/>
    <w:tmpl w:val="C018D706"/>
    <w:lvl w:ilvl="0" w:tplc="5C3024FE">
      <w:numFmt w:val="bullet"/>
      <w:lvlText w:val="•"/>
      <w:lvlJc w:val="left"/>
      <w:pPr>
        <w:ind w:left="153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8C64E85"/>
    <w:multiLevelType w:val="hybridMultilevel"/>
    <w:tmpl w:val="F8847BB2"/>
    <w:lvl w:ilvl="0" w:tplc="10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7" w15:restartNumberingAfterBreak="0">
    <w:nsid w:val="426B3BA7"/>
    <w:multiLevelType w:val="hybridMultilevel"/>
    <w:tmpl w:val="88B87CD2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12A30"/>
    <w:multiLevelType w:val="hybridMultilevel"/>
    <w:tmpl w:val="582AD6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A65E01"/>
    <w:multiLevelType w:val="hybridMultilevel"/>
    <w:tmpl w:val="D81A137A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F166FD"/>
    <w:multiLevelType w:val="hybridMultilevel"/>
    <w:tmpl w:val="95D200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86FB3"/>
    <w:multiLevelType w:val="hybridMultilevel"/>
    <w:tmpl w:val="CA18AF70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6C38B4"/>
    <w:multiLevelType w:val="hybridMultilevel"/>
    <w:tmpl w:val="33DCE3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1231D9"/>
    <w:multiLevelType w:val="hybridMultilevel"/>
    <w:tmpl w:val="30E2C71E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267994"/>
    <w:multiLevelType w:val="hybridMultilevel"/>
    <w:tmpl w:val="E0DE45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8513C4"/>
    <w:multiLevelType w:val="hybridMultilevel"/>
    <w:tmpl w:val="26A4BA7A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927B55"/>
    <w:multiLevelType w:val="hybridMultilevel"/>
    <w:tmpl w:val="9DDEDCB4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28018D4"/>
    <w:multiLevelType w:val="hybridMultilevel"/>
    <w:tmpl w:val="6404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C2B3C"/>
    <w:multiLevelType w:val="hybridMultilevel"/>
    <w:tmpl w:val="92C894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475D2B"/>
    <w:multiLevelType w:val="hybridMultilevel"/>
    <w:tmpl w:val="EA404024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915F5"/>
    <w:multiLevelType w:val="hybridMultilevel"/>
    <w:tmpl w:val="39A6F4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1279AF"/>
    <w:multiLevelType w:val="hybridMultilevel"/>
    <w:tmpl w:val="242607A0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77042"/>
    <w:multiLevelType w:val="multilevel"/>
    <w:tmpl w:val="B23A034C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1F3864" w:themeColor="accent1" w:themeShade="8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127FCF"/>
    <w:multiLevelType w:val="hybridMultilevel"/>
    <w:tmpl w:val="615C686A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E5212"/>
    <w:multiLevelType w:val="hybridMultilevel"/>
    <w:tmpl w:val="852ED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03558"/>
    <w:multiLevelType w:val="hybridMultilevel"/>
    <w:tmpl w:val="6FCC53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5044B5"/>
    <w:multiLevelType w:val="hybridMultilevel"/>
    <w:tmpl w:val="171253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"/>
  </w:num>
  <w:num w:numId="4">
    <w:abstractNumId w:val="11"/>
  </w:num>
  <w:num w:numId="5">
    <w:abstractNumId w:val="21"/>
  </w:num>
  <w:num w:numId="6">
    <w:abstractNumId w:val="1"/>
  </w:num>
  <w:num w:numId="7">
    <w:abstractNumId w:val="14"/>
  </w:num>
  <w:num w:numId="8">
    <w:abstractNumId w:val="25"/>
  </w:num>
  <w:num w:numId="9">
    <w:abstractNumId w:val="33"/>
  </w:num>
  <w:num w:numId="10">
    <w:abstractNumId w:val="6"/>
  </w:num>
  <w:num w:numId="11">
    <w:abstractNumId w:val="8"/>
  </w:num>
  <w:num w:numId="12">
    <w:abstractNumId w:val="31"/>
  </w:num>
  <w:num w:numId="13">
    <w:abstractNumId w:val="0"/>
  </w:num>
  <w:num w:numId="14">
    <w:abstractNumId w:val="29"/>
  </w:num>
  <w:num w:numId="15">
    <w:abstractNumId w:val="19"/>
  </w:num>
  <w:num w:numId="16">
    <w:abstractNumId w:val="23"/>
  </w:num>
  <w:num w:numId="17">
    <w:abstractNumId w:val="17"/>
  </w:num>
  <w:num w:numId="18">
    <w:abstractNumId w:val="4"/>
  </w:num>
  <w:num w:numId="19">
    <w:abstractNumId w:val="9"/>
  </w:num>
  <w:num w:numId="20">
    <w:abstractNumId w:val="3"/>
  </w:num>
  <w:num w:numId="21">
    <w:abstractNumId w:val="15"/>
  </w:num>
  <w:num w:numId="22">
    <w:abstractNumId w:val="22"/>
  </w:num>
  <w:num w:numId="23">
    <w:abstractNumId w:val="36"/>
  </w:num>
  <w:num w:numId="24">
    <w:abstractNumId w:val="13"/>
  </w:num>
  <w:num w:numId="25">
    <w:abstractNumId w:val="18"/>
  </w:num>
  <w:num w:numId="26">
    <w:abstractNumId w:val="26"/>
  </w:num>
  <w:num w:numId="27">
    <w:abstractNumId w:val="10"/>
  </w:num>
  <w:num w:numId="28">
    <w:abstractNumId w:val="35"/>
  </w:num>
  <w:num w:numId="29">
    <w:abstractNumId w:val="24"/>
  </w:num>
  <w:num w:numId="30">
    <w:abstractNumId w:val="28"/>
  </w:num>
  <w:num w:numId="31">
    <w:abstractNumId w:val="27"/>
  </w:num>
  <w:num w:numId="32">
    <w:abstractNumId w:val="16"/>
  </w:num>
  <w:num w:numId="33">
    <w:abstractNumId w:val="30"/>
  </w:num>
  <w:num w:numId="34">
    <w:abstractNumId w:val="12"/>
  </w:num>
  <w:num w:numId="35">
    <w:abstractNumId w:val="20"/>
  </w:num>
  <w:num w:numId="36">
    <w:abstractNumId w:val="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CB"/>
    <w:rsid w:val="00025881"/>
    <w:rsid w:val="00027E74"/>
    <w:rsid w:val="0003356F"/>
    <w:rsid w:val="000347C6"/>
    <w:rsid w:val="00042CE1"/>
    <w:rsid w:val="000438AD"/>
    <w:rsid w:val="00062600"/>
    <w:rsid w:val="000628EF"/>
    <w:rsid w:val="00095650"/>
    <w:rsid w:val="000C06DB"/>
    <w:rsid w:val="000D75D8"/>
    <w:rsid w:val="000D777B"/>
    <w:rsid w:val="000E3F29"/>
    <w:rsid w:val="000F3F58"/>
    <w:rsid w:val="00123B72"/>
    <w:rsid w:val="00125DFE"/>
    <w:rsid w:val="00140274"/>
    <w:rsid w:val="0015102A"/>
    <w:rsid w:val="00151986"/>
    <w:rsid w:val="00197048"/>
    <w:rsid w:val="001A08BE"/>
    <w:rsid w:val="001A584F"/>
    <w:rsid w:val="001A6E9E"/>
    <w:rsid w:val="001B45FF"/>
    <w:rsid w:val="001B5C8C"/>
    <w:rsid w:val="001F0509"/>
    <w:rsid w:val="00206597"/>
    <w:rsid w:val="00232009"/>
    <w:rsid w:val="00236A45"/>
    <w:rsid w:val="00243462"/>
    <w:rsid w:val="002531D8"/>
    <w:rsid w:val="00295BAB"/>
    <w:rsid w:val="00295CF3"/>
    <w:rsid w:val="0029633E"/>
    <w:rsid w:val="002B6565"/>
    <w:rsid w:val="002E33A3"/>
    <w:rsid w:val="00310EAB"/>
    <w:rsid w:val="00323D1C"/>
    <w:rsid w:val="00325147"/>
    <w:rsid w:val="0032611F"/>
    <w:rsid w:val="00332A89"/>
    <w:rsid w:val="00351347"/>
    <w:rsid w:val="00352318"/>
    <w:rsid w:val="0036022F"/>
    <w:rsid w:val="0037470A"/>
    <w:rsid w:val="003837B6"/>
    <w:rsid w:val="00383BD4"/>
    <w:rsid w:val="00385EE8"/>
    <w:rsid w:val="003A0B7A"/>
    <w:rsid w:val="003A5A82"/>
    <w:rsid w:val="003A6434"/>
    <w:rsid w:val="003B2931"/>
    <w:rsid w:val="003B5305"/>
    <w:rsid w:val="003C1456"/>
    <w:rsid w:val="003C7AFD"/>
    <w:rsid w:val="003E3809"/>
    <w:rsid w:val="003E7B87"/>
    <w:rsid w:val="003F615F"/>
    <w:rsid w:val="004118D4"/>
    <w:rsid w:val="00422901"/>
    <w:rsid w:val="00422D1B"/>
    <w:rsid w:val="00437C7D"/>
    <w:rsid w:val="004519DF"/>
    <w:rsid w:val="004575CB"/>
    <w:rsid w:val="0046040F"/>
    <w:rsid w:val="00473F0D"/>
    <w:rsid w:val="00476BA2"/>
    <w:rsid w:val="004870D8"/>
    <w:rsid w:val="004B4C2C"/>
    <w:rsid w:val="004E5687"/>
    <w:rsid w:val="00520E24"/>
    <w:rsid w:val="00542A57"/>
    <w:rsid w:val="005457CD"/>
    <w:rsid w:val="0056317B"/>
    <w:rsid w:val="00570D20"/>
    <w:rsid w:val="0059115E"/>
    <w:rsid w:val="00592F64"/>
    <w:rsid w:val="00593ED9"/>
    <w:rsid w:val="005961A6"/>
    <w:rsid w:val="005A4CC3"/>
    <w:rsid w:val="005A59AE"/>
    <w:rsid w:val="005A5FB4"/>
    <w:rsid w:val="005C47EE"/>
    <w:rsid w:val="00625348"/>
    <w:rsid w:val="00655507"/>
    <w:rsid w:val="00655A0C"/>
    <w:rsid w:val="00691523"/>
    <w:rsid w:val="006B5E0E"/>
    <w:rsid w:val="0071516E"/>
    <w:rsid w:val="007366D4"/>
    <w:rsid w:val="007443C2"/>
    <w:rsid w:val="00746754"/>
    <w:rsid w:val="00766882"/>
    <w:rsid w:val="0077351D"/>
    <w:rsid w:val="00781508"/>
    <w:rsid w:val="007832A0"/>
    <w:rsid w:val="00783F3D"/>
    <w:rsid w:val="00795278"/>
    <w:rsid w:val="007A3FFB"/>
    <w:rsid w:val="007A4BEE"/>
    <w:rsid w:val="007A5354"/>
    <w:rsid w:val="007B5314"/>
    <w:rsid w:val="007C27C6"/>
    <w:rsid w:val="007C4662"/>
    <w:rsid w:val="007F2961"/>
    <w:rsid w:val="007F372E"/>
    <w:rsid w:val="008000A3"/>
    <w:rsid w:val="008131E6"/>
    <w:rsid w:val="00823E6A"/>
    <w:rsid w:val="00831B70"/>
    <w:rsid w:val="00840F6F"/>
    <w:rsid w:val="0085211E"/>
    <w:rsid w:val="00854104"/>
    <w:rsid w:val="00854636"/>
    <w:rsid w:val="0085538F"/>
    <w:rsid w:val="00870AF1"/>
    <w:rsid w:val="008A30C2"/>
    <w:rsid w:val="008A6CD8"/>
    <w:rsid w:val="008C4E4F"/>
    <w:rsid w:val="008C4F73"/>
    <w:rsid w:val="008E736C"/>
    <w:rsid w:val="008F55CB"/>
    <w:rsid w:val="0091091E"/>
    <w:rsid w:val="00935AB2"/>
    <w:rsid w:val="009775FB"/>
    <w:rsid w:val="00991553"/>
    <w:rsid w:val="009A2E75"/>
    <w:rsid w:val="009B48FE"/>
    <w:rsid w:val="009E0A76"/>
    <w:rsid w:val="00A02A57"/>
    <w:rsid w:val="00A03C8A"/>
    <w:rsid w:val="00A05438"/>
    <w:rsid w:val="00A06285"/>
    <w:rsid w:val="00A17557"/>
    <w:rsid w:val="00A30059"/>
    <w:rsid w:val="00A32505"/>
    <w:rsid w:val="00A662ED"/>
    <w:rsid w:val="00A66F81"/>
    <w:rsid w:val="00A708C4"/>
    <w:rsid w:val="00A91CED"/>
    <w:rsid w:val="00AA6BB1"/>
    <w:rsid w:val="00AB445A"/>
    <w:rsid w:val="00AD7A95"/>
    <w:rsid w:val="00B03094"/>
    <w:rsid w:val="00B1065E"/>
    <w:rsid w:val="00B10A63"/>
    <w:rsid w:val="00B46C0F"/>
    <w:rsid w:val="00B63375"/>
    <w:rsid w:val="00B80679"/>
    <w:rsid w:val="00BC01D0"/>
    <w:rsid w:val="00BC2BD7"/>
    <w:rsid w:val="00BE287D"/>
    <w:rsid w:val="00BE65AB"/>
    <w:rsid w:val="00BF182C"/>
    <w:rsid w:val="00BF2C7A"/>
    <w:rsid w:val="00BF6A3F"/>
    <w:rsid w:val="00BF7F54"/>
    <w:rsid w:val="00C217C5"/>
    <w:rsid w:val="00C43688"/>
    <w:rsid w:val="00C50276"/>
    <w:rsid w:val="00C77F56"/>
    <w:rsid w:val="00C8612C"/>
    <w:rsid w:val="00C960B7"/>
    <w:rsid w:val="00C975DC"/>
    <w:rsid w:val="00CA1FB7"/>
    <w:rsid w:val="00CB59A2"/>
    <w:rsid w:val="00CB7BB9"/>
    <w:rsid w:val="00CD525F"/>
    <w:rsid w:val="00CF316C"/>
    <w:rsid w:val="00CF51A2"/>
    <w:rsid w:val="00CF744A"/>
    <w:rsid w:val="00D01CCD"/>
    <w:rsid w:val="00D3067B"/>
    <w:rsid w:val="00D32F27"/>
    <w:rsid w:val="00D5155A"/>
    <w:rsid w:val="00D53826"/>
    <w:rsid w:val="00D55E42"/>
    <w:rsid w:val="00D6144E"/>
    <w:rsid w:val="00D63E7A"/>
    <w:rsid w:val="00D97F9D"/>
    <w:rsid w:val="00DA4271"/>
    <w:rsid w:val="00DA4865"/>
    <w:rsid w:val="00DA522B"/>
    <w:rsid w:val="00DC1D7E"/>
    <w:rsid w:val="00DC39BD"/>
    <w:rsid w:val="00DD4F4C"/>
    <w:rsid w:val="00DF31CC"/>
    <w:rsid w:val="00E114DE"/>
    <w:rsid w:val="00E11ECD"/>
    <w:rsid w:val="00E17DE1"/>
    <w:rsid w:val="00E35B2D"/>
    <w:rsid w:val="00E50687"/>
    <w:rsid w:val="00EA59DA"/>
    <w:rsid w:val="00EA629A"/>
    <w:rsid w:val="00EB227B"/>
    <w:rsid w:val="00EB6600"/>
    <w:rsid w:val="00EC5BB9"/>
    <w:rsid w:val="00ED079D"/>
    <w:rsid w:val="00ED0D66"/>
    <w:rsid w:val="00EE0698"/>
    <w:rsid w:val="00EE5EBF"/>
    <w:rsid w:val="00EF58C3"/>
    <w:rsid w:val="00F05A46"/>
    <w:rsid w:val="00F21A5C"/>
    <w:rsid w:val="00F3271E"/>
    <w:rsid w:val="00F34A96"/>
    <w:rsid w:val="00F41E85"/>
    <w:rsid w:val="00F45173"/>
    <w:rsid w:val="00F6516C"/>
    <w:rsid w:val="00F863A7"/>
    <w:rsid w:val="00F9550F"/>
    <w:rsid w:val="00FA00B5"/>
    <w:rsid w:val="00FA09E4"/>
    <w:rsid w:val="00FD45BD"/>
    <w:rsid w:val="00FE3D9B"/>
    <w:rsid w:val="00FE418A"/>
    <w:rsid w:val="00FE77D9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CF17"/>
  <w15:chartTrackingRefBased/>
  <w15:docId w15:val="{4F73E89D-935D-4E3F-BBE1-5F5F4F4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55C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1FB7"/>
    <w:pPr>
      <w:keepNext/>
      <w:keepLines/>
      <w:numPr>
        <w:numId w:val="20"/>
      </w:numPr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5CB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customStyle="1" w:styleId="TableParagraph">
    <w:name w:val="Table Paragraph"/>
    <w:basedOn w:val="Normal"/>
    <w:uiPriority w:val="1"/>
    <w:qFormat/>
    <w:rsid w:val="008F55CB"/>
    <w:pPr>
      <w:widowControl w:val="0"/>
      <w:autoSpaceDE w:val="0"/>
      <w:autoSpaceDN w:val="0"/>
      <w:ind w:left="78"/>
    </w:pPr>
    <w:rPr>
      <w:rFonts w:ascii="Arial" w:eastAsia="Arial" w:hAnsi="Arial" w:cs="Arial"/>
      <w:lang w:eastAsia="en-CA" w:bidi="en-CA"/>
    </w:rPr>
  </w:style>
  <w:style w:type="character" w:styleId="IntenseReference">
    <w:name w:val="Intense Reference"/>
    <w:basedOn w:val="DefaultParagraphFont"/>
    <w:uiPriority w:val="32"/>
    <w:qFormat/>
    <w:rsid w:val="003837B6"/>
    <w:rPr>
      <w:rFonts w:asciiTheme="minorHAnsi" w:hAnsiTheme="minorHAnsi"/>
      <w:b/>
      <w:bCs/>
      <w:smallCaps/>
      <w:color w:val="4472C4" w:themeColor="accent1"/>
      <w:spacing w:val="5"/>
      <w:sz w:val="22"/>
    </w:rPr>
  </w:style>
  <w:style w:type="paragraph" w:styleId="ListParagraph">
    <w:name w:val="List Paragraph"/>
    <w:basedOn w:val="Normal"/>
    <w:uiPriority w:val="1"/>
    <w:qFormat/>
    <w:rsid w:val="003837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1FB7"/>
    <w:rPr>
      <w:b/>
    </w:rPr>
  </w:style>
  <w:style w:type="paragraph" w:styleId="NoSpacing">
    <w:name w:val="No Spacing"/>
    <w:uiPriority w:val="1"/>
    <w:qFormat/>
    <w:rsid w:val="007C27C6"/>
    <w:rPr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79D"/>
  </w:style>
  <w:style w:type="paragraph" w:styleId="Footer">
    <w:name w:val="footer"/>
    <w:basedOn w:val="Normal"/>
    <w:link w:val="Foot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79D"/>
  </w:style>
  <w:style w:type="paragraph" w:styleId="BalloonText">
    <w:name w:val="Balloon Text"/>
    <w:basedOn w:val="Normal"/>
    <w:link w:val="BalloonTextChar"/>
    <w:uiPriority w:val="99"/>
    <w:semiHidden/>
    <w:unhideWhenUsed/>
    <w:rsid w:val="000D77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7B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C14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Barber</dc:creator>
  <cp:keywords/>
  <dc:description/>
  <cp:lastModifiedBy>Lily Lin</cp:lastModifiedBy>
  <cp:revision>3</cp:revision>
  <dcterms:created xsi:type="dcterms:W3CDTF">2021-05-03T23:59:00Z</dcterms:created>
  <dcterms:modified xsi:type="dcterms:W3CDTF">2021-05-04T16:17:00Z</dcterms:modified>
</cp:coreProperties>
</file>