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0A" w:rsidRDefault="00547A0A" w:rsidP="00547A0A">
      <w:pPr>
        <w:rPr>
          <w:b/>
        </w:rPr>
      </w:pPr>
      <w:r w:rsidRPr="007069A3">
        <w:rPr>
          <w:b/>
        </w:rPr>
        <w:t xml:space="preserve">PRAMP Air Canister Sampling 2017-2018 </w:t>
      </w:r>
      <w:r>
        <w:rPr>
          <w:b/>
        </w:rPr>
        <w:t>Review</w:t>
      </w:r>
    </w:p>
    <w:p w:rsidR="00547A0A" w:rsidRPr="00547A0A" w:rsidRDefault="00547A0A" w:rsidP="00547A0A">
      <w:proofErr w:type="gramStart"/>
      <w:r>
        <w:rPr>
          <w:b/>
        </w:rPr>
        <w:t>*</w:t>
      </w:r>
      <w:r w:rsidRPr="00547A0A">
        <w:t>Please</w:t>
      </w:r>
      <w:proofErr w:type="gramEnd"/>
      <w:r w:rsidRPr="00547A0A">
        <w:t xml:space="preserve"> note that this was only an initial high-level review to initiate conversation</w:t>
      </w:r>
    </w:p>
    <w:p w:rsidR="00547A0A" w:rsidRDefault="00547A0A" w:rsidP="00547A0A">
      <w:r>
        <w:t xml:space="preserve">Table 1. There were nine (9) Compounds That Exceeded Thresholds in 2017-2018 Canisters That </w:t>
      </w:r>
      <w:proofErr w:type="gramStart"/>
      <w:r>
        <w:t>Were</w:t>
      </w:r>
      <w:proofErr w:type="gramEnd"/>
      <w:r>
        <w:t xml:space="preserve"> </w:t>
      </w:r>
      <w:r w:rsidRPr="00DC445C">
        <w:rPr>
          <w:b/>
        </w:rPr>
        <w:t>Above</w:t>
      </w:r>
      <w:r>
        <w:t xml:space="preserve"> the MDL.</w:t>
      </w:r>
    </w:p>
    <w:tbl>
      <w:tblPr>
        <w:tblStyle w:val="TableGrid"/>
        <w:tblW w:w="0" w:type="auto"/>
        <w:tblLook w:val="04A0" w:firstRow="1" w:lastRow="0" w:firstColumn="1" w:lastColumn="0" w:noHBand="0" w:noVBand="1"/>
      </w:tblPr>
      <w:tblGrid>
        <w:gridCol w:w="3599"/>
        <w:gridCol w:w="3143"/>
        <w:gridCol w:w="2608"/>
      </w:tblGrid>
      <w:tr w:rsidR="00547A0A" w:rsidTr="00A141A4">
        <w:tc>
          <w:tcPr>
            <w:tcW w:w="3599" w:type="dxa"/>
          </w:tcPr>
          <w:p w:rsidR="00547A0A" w:rsidRPr="00EF5D9B" w:rsidRDefault="00547A0A" w:rsidP="00A141A4">
            <w:pPr>
              <w:rPr>
                <w:b/>
              </w:rPr>
            </w:pPr>
          </w:p>
        </w:tc>
        <w:tc>
          <w:tcPr>
            <w:tcW w:w="5751" w:type="dxa"/>
            <w:gridSpan w:val="2"/>
          </w:tcPr>
          <w:p w:rsidR="00547A0A" w:rsidRPr="00EF5D9B" w:rsidRDefault="00547A0A" w:rsidP="00A141A4">
            <w:pPr>
              <w:rPr>
                <w:b/>
              </w:rPr>
            </w:pPr>
            <w:r w:rsidRPr="00EF5D9B">
              <w:rPr>
                <w:b/>
              </w:rPr>
              <w:t>Number of Exceedances</w:t>
            </w:r>
          </w:p>
        </w:tc>
      </w:tr>
      <w:tr w:rsidR="00547A0A" w:rsidTr="00A141A4">
        <w:tc>
          <w:tcPr>
            <w:tcW w:w="3599" w:type="dxa"/>
          </w:tcPr>
          <w:p w:rsidR="00547A0A" w:rsidRPr="00EF5D9B" w:rsidRDefault="00547A0A" w:rsidP="00A141A4">
            <w:pPr>
              <w:rPr>
                <w:b/>
              </w:rPr>
            </w:pPr>
          </w:p>
        </w:tc>
        <w:tc>
          <w:tcPr>
            <w:tcW w:w="5751" w:type="dxa"/>
            <w:gridSpan w:val="2"/>
          </w:tcPr>
          <w:p w:rsidR="00547A0A" w:rsidRDefault="00547A0A" w:rsidP="00A141A4">
            <w:pPr>
              <w:rPr>
                <w:b/>
              </w:rPr>
            </w:pPr>
            <w:r>
              <w:rPr>
                <w:b/>
              </w:rPr>
              <w:t># of events (# of thresholds exceeded per event)</w:t>
            </w:r>
          </w:p>
        </w:tc>
      </w:tr>
      <w:tr w:rsidR="00547A0A" w:rsidTr="00A141A4">
        <w:tc>
          <w:tcPr>
            <w:tcW w:w="3599" w:type="dxa"/>
          </w:tcPr>
          <w:p w:rsidR="00547A0A" w:rsidRPr="00EF5D9B" w:rsidRDefault="00547A0A" w:rsidP="00A141A4">
            <w:pPr>
              <w:rPr>
                <w:b/>
              </w:rPr>
            </w:pPr>
            <w:r w:rsidRPr="00EF5D9B">
              <w:rPr>
                <w:b/>
              </w:rPr>
              <w:t>Compound</w:t>
            </w:r>
          </w:p>
        </w:tc>
        <w:tc>
          <w:tcPr>
            <w:tcW w:w="3143" w:type="dxa"/>
          </w:tcPr>
          <w:p w:rsidR="00547A0A" w:rsidRPr="00EF5D9B" w:rsidRDefault="00547A0A" w:rsidP="00A141A4">
            <w:pPr>
              <w:jc w:val="center"/>
              <w:rPr>
                <w:b/>
              </w:rPr>
            </w:pPr>
            <w:r>
              <w:rPr>
                <w:b/>
              </w:rPr>
              <w:t>2017</w:t>
            </w:r>
          </w:p>
        </w:tc>
        <w:tc>
          <w:tcPr>
            <w:tcW w:w="2608" w:type="dxa"/>
          </w:tcPr>
          <w:p w:rsidR="00547A0A" w:rsidRPr="00EF5D9B" w:rsidRDefault="00547A0A" w:rsidP="00A141A4">
            <w:pPr>
              <w:jc w:val="center"/>
              <w:rPr>
                <w:b/>
              </w:rPr>
            </w:pPr>
            <w:r>
              <w:rPr>
                <w:b/>
              </w:rPr>
              <w:t>2018</w:t>
            </w:r>
          </w:p>
        </w:tc>
      </w:tr>
      <w:tr w:rsidR="00547A0A" w:rsidTr="00A141A4">
        <w:tc>
          <w:tcPr>
            <w:tcW w:w="3599" w:type="dxa"/>
          </w:tcPr>
          <w:p w:rsidR="00547A0A" w:rsidRDefault="00547A0A" w:rsidP="00A141A4">
            <w:pPr>
              <w:tabs>
                <w:tab w:val="left" w:pos="1020"/>
              </w:tabs>
              <w:jc w:val="both"/>
            </w:pPr>
            <w:r>
              <w:t>Carbonyl Sulphide</w:t>
            </w:r>
          </w:p>
        </w:tc>
        <w:tc>
          <w:tcPr>
            <w:tcW w:w="3143" w:type="dxa"/>
          </w:tcPr>
          <w:p w:rsidR="00547A0A" w:rsidRDefault="00547A0A" w:rsidP="00A141A4">
            <w:pPr>
              <w:jc w:val="center"/>
            </w:pPr>
            <w:r>
              <w:t>3 (1)</w:t>
            </w:r>
          </w:p>
        </w:tc>
        <w:tc>
          <w:tcPr>
            <w:tcW w:w="2608" w:type="dxa"/>
          </w:tcPr>
          <w:p w:rsidR="00547A0A" w:rsidRDefault="00547A0A" w:rsidP="00A141A4">
            <w:pPr>
              <w:jc w:val="center"/>
            </w:pPr>
            <w:r>
              <w:t>-</w:t>
            </w:r>
          </w:p>
        </w:tc>
      </w:tr>
      <w:tr w:rsidR="00547A0A" w:rsidTr="00A141A4">
        <w:tc>
          <w:tcPr>
            <w:tcW w:w="3599" w:type="dxa"/>
          </w:tcPr>
          <w:p w:rsidR="00547A0A" w:rsidRDefault="00547A0A" w:rsidP="00A141A4">
            <w:r>
              <w:t>Carbon Tetrachloride</w:t>
            </w:r>
          </w:p>
        </w:tc>
        <w:tc>
          <w:tcPr>
            <w:tcW w:w="3143" w:type="dxa"/>
          </w:tcPr>
          <w:p w:rsidR="00547A0A" w:rsidRDefault="00547A0A" w:rsidP="00A141A4">
            <w:pPr>
              <w:jc w:val="center"/>
            </w:pPr>
            <w:r>
              <w:t>3 (1)</w:t>
            </w:r>
          </w:p>
        </w:tc>
        <w:tc>
          <w:tcPr>
            <w:tcW w:w="2608" w:type="dxa"/>
          </w:tcPr>
          <w:p w:rsidR="00547A0A" w:rsidRDefault="00547A0A" w:rsidP="00A141A4">
            <w:pPr>
              <w:jc w:val="center"/>
            </w:pPr>
            <w:r>
              <w:t>1 (1)</w:t>
            </w:r>
          </w:p>
        </w:tc>
      </w:tr>
      <w:tr w:rsidR="00547A0A" w:rsidTr="00A141A4">
        <w:tc>
          <w:tcPr>
            <w:tcW w:w="3599" w:type="dxa"/>
          </w:tcPr>
          <w:p w:rsidR="00547A0A" w:rsidRDefault="00547A0A" w:rsidP="00A141A4">
            <w:r>
              <w:t>Benzene</w:t>
            </w:r>
          </w:p>
        </w:tc>
        <w:tc>
          <w:tcPr>
            <w:tcW w:w="3143" w:type="dxa"/>
          </w:tcPr>
          <w:p w:rsidR="00547A0A" w:rsidRDefault="00547A0A" w:rsidP="00A141A4">
            <w:pPr>
              <w:jc w:val="center"/>
            </w:pPr>
            <w:r>
              <w:t>2 ( 2/5)</w:t>
            </w:r>
          </w:p>
        </w:tc>
        <w:tc>
          <w:tcPr>
            <w:tcW w:w="2608" w:type="dxa"/>
          </w:tcPr>
          <w:p w:rsidR="00547A0A" w:rsidRDefault="00547A0A" w:rsidP="00A141A4">
            <w:pPr>
              <w:jc w:val="center"/>
            </w:pPr>
            <w:r>
              <w:t>2 (1/2)</w:t>
            </w:r>
          </w:p>
        </w:tc>
      </w:tr>
      <w:tr w:rsidR="00547A0A" w:rsidTr="00A141A4">
        <w:tc>
          <w:tcPr>
            <w:tcW w:w="3599" w:type="dxa"/>
          </w:tcPr>
          <w:p w:rsidR="00547A0A" w:rsidRDefault="00547A0A" w:rsidP="00A141A4">
            <w:r>
              <w:t>Isoprene</w:t>
            </w:r>
          </w:p>
        </w:tc>
        <w:tc>
          <w:tcPr>
            <w:tcW w:w="3143" w:type="dxa"/>
          </w:tcPr>
          <w:p w:rsidR="00547A0A" w:rsidRDefault="00547A0A" w:rsidP="00A141A4">
            <w:pPr>
              <w:jc w:val="center"/>
            </w:pPr>
            <w:r>
              <w:t>1 (1)</w:t>
            </w:r>
          </w:p>
        </w:tc>
        <w:tc>
          <w:tcPr>
            <w:tcW w:w="2608" w:type="dxa"/>
          </w:tcPr>
          <w:p w:rsidR="00547A0A" w:rsidRDefault="00547A0A" w:rsidP="00A141A4">
            <w:pPr>
              <w:jc w:val="center"/>
            </w:pPr>
            <w:r>
              <w:t>-</w:t>
            </w:r>
          </w:p>
        </w:tc>
      </w:tr>
      <w:tr w:rsidR="00547A0A" w:rsidTr="00A141A4">
        <w:tc>
          <w:tcPr>
            <w:tcW w:w="3599" w:type="dxa"/>
          </w:tcPr>
          <w:p w:rsidR="00547A0A" w:rsidRDefault="00547A0A" w:rsidP="00A141A4">
            <w:proofErr w:type="spellStart"/>
            <w:r>
              <w:t>Acrolein</w:t>
            </w:r>
            <w:proofErr w:type="spellEnd"/>
          </w:p>
        </w:tc>
        <w:tc>
          <w:tcPr>
            <w:tcW w:w="3143" w:type="dxa"/>
          </w:tcPr>
          <w:p w:rsidR="00547A0A" w:rsidRDefault="00547A0A" w:rsidP="00A141A4">
            <w:pPr>
              <w:jc w:val="center"/>
            </w:pPr>
            <w:r>
              <w:t>1 (4)</w:t>
            </w:r>
          </w:p>
        </w:tc>
        <w:tc>
          <w:tcPr>
            <w:tcW w:w="2608" w:type="dxa"/>
          </w:tcPr>
          <w:p w:rsidR="00547A0A" w:rsidRDefault="00547A0A" w:rsidP="00A141A4">
            <w:pPr>
              <w:jc w:val="center"/>
            </w:pPr>
            <w:r>
              <w:t>2 (4/4)</w:t>
            </w:r>
          </w:p>
        </w:tc>
      </w:tr>
      <w:tr w:rsidR="00547A0A" w:rsidTr="00A141A4">
        <w:tc>
          <w:tcPr>
            <w:tcW w:w="3599" w:type="dxa"/>
          </w:tcPr>
          <w:p w:rsidR="00547A0A" w:rsidRDefault="00547A0A" w:rsidP="00A141A4">
            <w:r>
              <w:t>Chloroform</w:t>
            </w:r>
          </w:p>
        </w:tc>
        <w:tc>
          <w:tcPr>
            <w:tcW w:w="3143" w:type="dxa"/>
          </w:tcPr>
          <w:p w:rsidR="00547A0A" w:rsidRDefault="00547A0A" w:rsidP="00A141A4">
            <w:pPr>
              <w:jc w:val="center"/>
            </w:pPr>
            <w:r>
              <w:t>-</w:t>
            </w:r>
          </w:p>
        </w:tc>
        <w:tc>
          <w:tcPr>
            <w:tcW w:w="2608" w:type="dxa"/>
          </w:tcPr>
          <w:p w:rsidR="00547A0A" w:rsidRDefault="00547A0A" w:rsidP="00A141A4">
            <w:pPr>
              <w:jc w:val="center"/>
            </w:pPr>
            <w:r>
              <w:t>2 (2/2)</w:t>
            </w:r>
          </w:p>
        </w:tc>
      </w:tr>
      <w:tr w:rsidR="00547A0A" w:rsidTr="00A141A4">
        <w:tc>
          <w:tcPr>
            <w:tcW w:w="3599" w:type="dxa"/>
          </w:tcPr>
          <w:p w:rsidR="00547A0A" w:rsidRDefault="00547A0A" w:rsidP="00A141A4">
            <w:r>
              <w:t>1,2,4-Trimethylbenzene</w:t>
            </w:r>
          </w:p>
        </w:tc>
        <w:tc>
          <w:tcPr>
            <w:tcW w:w="3143" w:type="dxa"/>
          </w:tcPr>
          <w:p w:rsidR="00547A0A" w:rsidRDefault="00547A0A" w:rsidP="00A141A4">
            <w:pPr>
              <w:jc w:val="center"/>
            </w:pPr>
            <w:r>
              <w:t>-</w:t>
            </w:r>
          </w:p>
        </w:tc>
        <w:tc>
          <w:tcPr>
            <w:tcW w:w="2608" w:type="dxa"/>
          </w:tcPr>
          <w:p w:rsidR="00547A0A" w:rsidRDefault="00547A0A" w:rsidP="00A141A4">
            <w:pPr>
              <w:jc w:val="center"/>
            </w:pPr>
            <w:r>
              <w:t>1 (1)</w:t>
            </w:r>
          </w:p>
        </w:tc>
      </w:tr>
      <w:tr w:rsidR="00547A0A" w:rsidTr="00A141A4">
        <w:tc>
          <w:tcPr>
            <w:tcW w:w="3599" w:type="dxa"/>
          </w:tcPr>
          <w:p w:rsidR="00547A0A" w:rsidRDefault="00547A0A" w:rsidP="00A141A4">
            <w:proofErr w:type="spellStart"/>
            <w:r>
              <w:t>Bromodichloromethane</w:t>
            </w:r>
            <w:proofErr w:type="spellEnd"/>
          </w:p>
        </w:tc>
        <w:tc>
          <w:tcPr>
            <w:tcW w:w="3143" w:type="dxa"/>
          </w:tcPr>
          <w:p w:rsidR="00547A0A" w:rsidRDefault="00547A0A" w:rsidP="00A141A4">
            <w:pPr>
              <w:jc w:val="center"/>
            </w:pPr>
            <w:r>
              <w:t>-</w:t>
            </w:r>
          </w:p>
        </w:tc>
        <w:tc>
          <w:tcPr>
            <w:tcW w:w="2608" w:type="dxa"/>
          </w:tcPr>
          <w:p w:rsidR="00547A0A" w:rsidRDefault="00547A0A" w:rsidP="00A141A4">
            <w:pPr>
              <w:jc w:val="center"/>
            </w:pPr>
            <w:r>
              <w:t>1 (1)</w:t>
            </w:r>
          </w:p>
        </w:tc>
      </w:tr>
      <w:tr w:rsidR="00547A0A" w:rsidTr="00A141A4">
        <w:tc>
          <w:tcPr>
            <w:tcW w:w="3599" w:type="dxa"/>
          </w:tcPr>
          <w:p w:rsidR="00547A0A" w:rsidRDefault="00547A0A" w:rsidP="00A141A4">
            <w:r>
              <w:t>Methyl Butyl Ketone</w:t>
            </w:r>
          </w:p>
        </w:tc>
        <w:tc>
          <w:tcPr>
            <w:tcW w:w="3143" w:type="dxa"/>
          </w:tcPr>
          <w:p w:rsidR="00547A0A" w:rsidRDefault="00547A0A" w:rsidP="00A141A4">
            <w:pPr>
              <w:jc w:val="center"/>
            </w:pPr>
            <w:r>
              <w:t>-</w:t>
            </w:r>
          </w:p>
        </w:tc>
        <w:tc>
          <w:tcPr>
            <w:tcW w:w="2608" w:type="dxa"/>
          </w:tcPr>
          <w:p w:rsidR="00547A0A" w:rsidRDefault="00547A0A" w:rsidP="00A141A4">
            <w:pPr>
              <w:jc w:val="center"/>
            </w:pPr>
            <w:r>
              <w:t>1 (1)</w:t>
            </w:r>
          </w:p>
        </w:tc>
      </w:tr>
    </w:tbl>
    <w:p w:rsidR="00547A0A" w:rsidRDefault="00547A0A" w:rsidP="00547A0A">
      <w:r>
        <w:t xml:space="preserve">*Note: Only exceedances that were above the method detection limit (MDL) </w:t>
      </w:r>
      <w:proofErr w:type="gramStart"/>
      <w:r>
        <w:t>are presented</w:t>
      </w:r>
      <w:proofErr w:type="gramEnd"/>
      <w:r>
        <w:t xml:space="preserve"> above. The MDL is the minimum measured concentration of a substance that </w:t>
      </w:r>
      <w:proofErr w:type="gramStart"/>
      <w:r>
        <w:t>can be reported</w:t>
      </w:r>
      <w:proofErr w:type="gramEnd"/>
      <w:r>
        <w:t xml:space="preserve"> with 99% confidence that the measured concentration is distinguishable from the method blank results.</w:t>
      </w:r>
    </w:p>
    <w:p w:rsidR="00547A0A" w:rsidRDefault="00547A0A" w:rsidP="00547A0A"/>
    <w:p w:rsidR="00547A0A" w:rsidRDefault="00547A0A" w:rsidP="00547A0A">
      <w:r>
        <w:t xml:space="preserve">Table 2. There were ten (10) Compounds that exceeded thresholds in the 2017-2018 Canisters That </w:t>
      </w:r>
      <w:proofErr w:type="gramStart"/>
      <w:r>
        <w:t>Were</w:t>
      </w:r>
      <w:proofErr w:type="gramEnd"/>
      <w:r>
        <w:t xml:space="preserve"> </w:t>
      </w:r>
      <w:r w:rsidRPr="00DC445C">
        <w:rPr>
          <w:b/>
        </w:rPr>
        <w:t>Below</w:t>
      </w:r>
      <w:r>
        <w:t xml:space="preserve"> the MDL. </w:t>
      </w:r>
    </w:p>
    <w:tbl>
      <w:tblPr>
        <w:tblStyle w:val="TableGrid"/>
        <w:tblW w:w="0" w:type="auto"/>
        <w:tblLook w:val="04A0" w:firstRow="1" w:lastRow="0" w:firstColumn="1" w:lastColumn="0" w:noHBand="0" w:noVBand="1"/>
      </w:tblPr>
      <w:tblGrid>
        <w:gridCol w:w="3599"/>
        <w:gridCol w:w="3143"/>
        <w:gridCol w:w="2608"/>
      </w:tblGrid>
      <w:tr w:rsidR="00547A0A" w:rsidRPr="00EF5D9B" w:rsidTr="00A141A4">
        <w:tc>
          <w:tcPr>
            <w:tcW w:w="3599" w:type="dxa"/>
          </w:tcPr>
          <w:p w:rsidR="00547A0A" w:rsidRPr="00EF5D9B" w:rsidRDefault="00547A0A" w:rsidP="00A141A4">
            <w:pPr>
              <w:rPr>
                <w:b/>
              </w:rPr>
            </w:pPr>
          </w:p>
        </w:tc>
        <w:tc>
          <w:tcPr>
            <w:tcW w:w="5751" w:type="dxa"/>
            <w:gridSpan w:val="2"/>
          </w:tcPr>
          <w:p w:rsidR="00547A0A" w:rsidRPr="00EF5D9B" w:rsidRDefault="00547A0A" w:rsidP="00A141A4">
            <w:pPr>
              <w:rPr>
                <w:b/>
              </w:rPr>
            </w:pPr>
            <w:r w:rsidRPr="00EF5D9B">
              <w:rPr>
                <w:b/>
              </w:rPr>
              <w:t>Number of Exceedances</w:t>
            </w:r>
          </w:p>
        </w:tc>
      </w:tr>
      <w:tr w:rsidR="00547A0A" w:rsidTr="00A141A4">
        <w:tc>
          <w:tcPr>
            <w:tcW w:w="3599" w:type="dxa"/>
          </w:tcPr>
          <w:p w:rsidR="00547A0A" w:rsidRPr="00EF5D9B" w:rsidRDefault="00547A0A" w:rsidP="00A141A4">
            <w:pPr>
              <w:rPr>
                <w:b/>
              </w:rPr>
            </w:pPr>
          </w:p>
        </w:tc>
        <w:tc>
          <w:tcPr>
            <w:tcW w:w="5751" w:type="dxa"/>
            <w:gridSpan w:val="2"/>
          </w:tcPr>
          <w:p w:rsidR="00547A0A" w:rsidRDefault="00547A0A" w:rsidP="00A141A4">
            <w:pPr>
              <w:rPr>
                <w:b/>
              </w:rPr>
            </w:pPr>
            <w:r>
              <w:rPr>
                <w:b/>
              </w:rPr>
              <w:t># of events (# of thresholds exceeded per event)</w:t>
            </w:r>
          </w:p>
        </w:tc>
      </w:tr>
      <w:tr w:rsidR="00547A0A" w:rsidRPr="00EF5D9B" w:rsidTr="00A141A4">
        <w:tc>
          <w:tcPr>
            <w:tcW w:w="3599" w:type="dxa"/>
          </w:tcPr>
          <w:p w:rsidR="00547A0A" w:rsidRPr="00EF5D9B" w:rsidRDefault="00547A0A" w:rsidP="00A141A4">
            <w:pPr>
              <w:rPr>
                <w:b/>
              </w:rPr>
            </w:pPr>
            <w:r w:rsidRPr="00EF5D9B">
              <w:rPr>
                <w:b/>
              </w:rPr>
              <w:t>Compound</w:t>
            </w:r>
          </w:p>
        </w:tc>
        <w:tc>
          <w:tcPr>
            <w:tcW w:w="3143" w:type="dxa"/>
          </w:tcPr>
          <w:p w:rsidR="00547A0A" w:rsidRPr="00EF5D9B" w:rsidRDefault="00547A0A" w:rsidP="00A141A4">
            <w:pPr>
              <w:jc w:val="center"/>
              <w:rPr>
                <w:b/>
              </w:rPr>
            </w:pPr>
            <w:r>
              <w:rPr>
                <w:b/>
              </w:rPr>
              <w:t>2017</w:t>
            </w:r>
          </w:p>
        </w:tc>
        <w:tc>
          <w:tcPr>
            <w:tcW w:w="2608" w:type="dxa"/>
          </w:tcPr>
          <w:p w:rsidR="00547A0A" w:rsidRPr="00EF5D9B" w:rsidRDefault="00547A0A" w:rsidP="00A141A4">
            <w:pPr>
              <w:jc w:val="center"/>
              <w:rPr>
                <w:b/>
              </w:rPr>
            </w:pPr>
            <w:r>
              <w:rPr>
                <w:b/>
              </w:rPr>
              <w:t>2018</w:t>
            </w:r>
          </w:p>
        </w:tc>
      </w:tr>
      <w:tr w:rsidR="00547A0A" w:rsidTr="00A141A4">
        <w:tc>
          <w:tcPr>
            <w:tcW w:w="3599" w:type="dxa"/>
          </w:tcPr>
          <w:p w:rsidR="00547A0A" w:rsidRPr="00DC445C" w:rsidRDefault="00547A0A" w:rsidP="00A141A4">
            <w:pPr>
              <w:jc w:val="both"/>
              <w:rPr>
                <w:rFonts w:ascii="Calibri" w:hAnsi="Calibri" w:cs="Calibri"/>
                <w:color w:val="000000"/>
              </w:rPr>
            </w:pPr>
            <w:r w:rsidRPr="00DC445C">
              <w:rPr>
                <w:rFonts w:ascii="Calibri" w:hAnsi="Calibri" w:cs="Calibri"/>
                <w:color w:val="000000"/>
              </w:rPr>
              <w:t>1-Butene</w:t>
            </w:r>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tcPr>
          <w:p w:rsidR="00547A0A" w:rsidRPr="00DC445C" w:rsidRDefault="00547A0A" w:rsidP="00A141A4">
            <w:pPr>
              <w:rPr>
                <w:rFonts w:ascii="Calibri" w:hAnsi="Calibri" w:cs="Calibri"/>
                <w:color w:val="000000"/>
              </w:rPr>
            </w:pPr>
            <w:proofErr w:type="spellStart"/>
            <w:r w:rsidRPr="00DC445C">
              <w:rPr>
                <w:rFonts w:ascii="Calibri" w:hAnsi="Calibri" w:cs="Calibri"/>
                <w:color w:val="000000"/>
              </w:rPr>
              <w:t>Pentyl</w:t>
            </w:r>
            <w:proofErr w:type="spellEnd"/>
            <w:r w:rsidRPr="00DC445C">
              <w:rPr>
                <w:rFonts w:ascii="Calibri" w:hAnsi="Calibri" w:cs="Calibri"/>
                <w:color w:val="000000"/>
              </w:rPr>
              <w:t xml:space="preserve"> </w:t>
            </w:r>
            <w:proofErr w:type="spellStart"/>
            <w:r w:rsidRPr="00DC445C">
              <w:rPr>
                <w:rFonts w:ascii="Calibri" w:hAnsi="Calibri" w:cs="Calibri"/>
                <w:color w:val="000000"/>
              </w:rPr>
              <w:t>mercaptan</w:t>
            </w:r>
            <w:proofErr w:type="spellEnd"/>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tcPr>
          <w:p w:rsidR="00547A0A" w:rsidRPr="00DC445C" w:rsidRDefault="00547A0A" w:rsidP="00A141A4">
            <w:pPr>
              <w:rPr>
                <w:rFonts w:ascii="Calibri" w:hAnsi="Calibri" w:cs="Calibri"/>
                <w:color w:val="000000"/>
              </w:rPr>
            </w:pPr>
            <w:proofErr w:type="spellStart"/>
            <w:r w:rsidRPr="00DC445C">
              <w:rPr>
                <w:rFonts w:ascii="Calibri" w:hAnsi="Calibri" w:cs="Calibri"/>
                <w:color w:val="000000"/>
              </w:rPr>
              <w:t>tert</w:t>
            </w:r>
            <w:proofErr w:type="spellEnd"/>
            <w:r w:rsidRPr="00DC445C">
              <w:rPr>
                <w:rFonts w:ascii="Calibri" w:hAnsi="Calibri" w:cs="Calibri"/>
                <w:color w:val="000000"/>
              </w:rPr>
              <w:t xml:space="preserve">-Butyl </w:t>
            </w:r>
            <w:proofErr w:type="spellStart"/>
            <w:r w:rsidRPr="00DC445C">
              <w:rPr>
                <w:rFonts w:ascii="Calibri" w:hAnsi="Calibri" w:cs="Calibri"/>
                <w:color w:val="000000"/>
              </w:rPr>
              <w:t>mercaptan</w:t>
            </w:r>
            <w:proofErr w:type="spellEnd"/>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tcPr>
          <w:p w:rsidR="00547A0A" w:rsidRPr="00DC445C" w:rsidRDefault="00547A0A" w:rsidP="00A141A4">
            <w:pPr>
              <w:rPr>
                <w:rFonts w:ascii="Calibri" w:hAnsi="Calibri" w:cs="Calibri"/>
                <w:color w:val="000000"/>
              </w:rPr>
            </w:pPr>
            <w:r w:rsidRPr="00DC445C">
              <w:rPr>
                <w:rFonts w:ascii="Calibri" w:hAnsi="Calibri" w:cs="Calibri"/>
                <w:color w:val="000000"/>
              </w:rPr>
              <w:t>1,2,4-Trichlorobenzene</w:t>
            </w:r>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tcPr>
          <w:p w:rsidR="00547A0A" w:rsidRPr="00DC445C" w:rsidRDefault="00547A0A" w:rsidP="00A141A4">
            <w:pPr>
              <w:rPr>
                <w:rFonts w:ascii="Calibri" w:hAnsi="Calibri" w:cs="Calibri"/>
                <w:color w:val="000000"/>
              </w:rPr>
            </w:pPr>
            <w:r w:rsidRPr="00DC445C">
              <w:rPr>
                <w:rFonts w:ascii="Calibri" w:hAnsi="Calibri" w:cs="Calibri"/>
                <w:color w:val="000000"/>
              </w:rPr>
              <w:t>1,2-dibromoethane</w:t>
            </w:r>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tcPr>
          <w:p w:rsidR="00547A0A" w:rsidRPr="00DC445C" w:rsidRDefault="00547A0A" w:rsidP="00A141A4">
            <w:pPr>
              <w:rPr>
                <w:rFonts w:ascii="Calibri" w:hAnsi="Calibri" w:cs="Calibri"/>
                <w:color w:val="000000"/>
              </w:rPr>
            </w:pPr>
            <w:proofErr w:type="spellStart"/>
            <w:r w:rsidRPr="00DC445C">
              <w:rPr>
                <w:rFonts w:ascii="Calibri" w:hAnsi="Calibri" w:cs="Calibri"/>
                <w:color w:val="000000"/>
              </w:rPr>
              <w:t>Acrolein</w:t>
            </w:r>
            <w:proofErr w:type="spellEnd"/>
          </w:p>
        </w:tc>
        <w:tc>
          <w:tcPr>
            <w:tcW w:w="3143" w:type="dxa"/>
          </w:tcPr>
          <w:p w:rsidR="00547A0A" w:rsidRPr="00DC445C" w:rsidRDefault="00547A0A" w:rsidP="00A141A4">
            <w:pPr>
              <w:jc w:val="center"/>
            </w:pPr>
            <w:r w:rsidRPr="00DC445C">
              <w:t>2 (3/3)</w:t>
            </w:r>
          </w:p>
        </w:tc>
        <w:tc>
          <w:tcPr>
            <w:tcW w:w="2608" w:type="dxa"/>
          </w:tcPr>
          <w:p w:rsidR="00547A0A" w:rsidRPr="00DC445C" w:rsidRDefault="00547A0A" w:rsidP="00A141A4">
            <w:pPr>
              <w:jc w:val="center"/>
            </w:pPr>
            <w:r w:rsidRPr="00DC445C">
              <w:t>1(3)</w:t>
            </w:r>
          </w:p>
        </w:tc>
      </w:tr>
      <w:tr w:rsidR="00547A0A" w:rsidTr="00A141A4">
        <w:tc>
          <w:tcPr>
            <w:tcW w:w="3599" w:type="dxa"/>
            <w:vAlign w:val="bottom"/>
          </w:tcPr>
          <w:p w:rsidR="00547A0A" w:rsidRPr="00DC445C" w:rsidRDefault="00547A0A" w:rsidP="00A141A4">
            <w:r w:rsidRPr="00DC445C">
              <w:rPr>
                <w:rFonts w:ascii="Calibri" w:hAnsi="Calibri" w:cs="Calibri"/>
                <w:color w:val="000000"/>
              </w:rPr>
              <w:t>Benzyl chloride</w:t>
            </w:r>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 (1)</w:t>
            </w:r>
          </w:p>
        </w:tc>
      </w:tr>
      <w:tr w:rsidR="00547A0A" w:rsidTr="00A141A4">
        <w:tc>
          <w:tcPr>
            <w:tcW w:w="3599" w:type="dxa"/>
            <w:vAlign w:val="bottom"/>
          </w:tcPr>
          <w:p w:rsidR="00547A0A" w:rsidRPr="00DC445C" w:rsidRDefault="00547A0A" w:rsidP="00A141A4">
            <w:proofErr w:type="spellStart"/>
            <w:r w:rsidRPr="00DC445C">
              <w:rPr>
                <w:rFonts w:ascii="Calibri" w:hAnsi="Calibri" w:cs="Calibri"/>
                <w:color w:val="000000"/>
              </w:rPr>
              <w:t>Bromodichloromethane</w:t>
            </w:r>
            <w:proofErr w:type="spellEnd"/>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2(1)</w:t>
            </w:r>
          </w:p>
        </w:tc>
      </w:tr>
      <w:tr w:rsidR="00547A0A" w:rsidTr="00A141A4">
        <w:tc>
          <w:tcPr>
            <w:tcW w:w="3599" w:type="dxa"/>
          </w:tcPr>
          <w:p w:rsidR="00547A0A" w:rsidRPr="00DC445C" w:rsidRDefault="00547A0A" w:rsidP="00A141A4">
            <w:pPr>
              <w:rPr>
                <w:rFonts w:ascii="Calibri" w:hAnsi="Calibri" w:cs="Calibri"/>
                <w:color w:val="000000"/>
              </w:rPr>
            </w:pPr>
            <w:r w:rsidRPr="00DC445C">
              <w:rPr>
                <w:rFonts w:ascii="Calibri" w:hAnsi="Calibri" w:cs="Calibri"/>
                <w:color w:val="000000"/>
              </w:rPr>
              <w:t>Hexachloro-1,3-butadiene</w:t>
            </w:r>
          </w:p>
        </w:tc>
        <w:tc>
          <w:tcPr>
            <w:tcW w:w="3143" w:type="dxa"/>
          </w:tcPr>
          <w:p w:rsidR="00547A0A" w:rsidRPr="00DC445C" w:rsidRDefault="00547A0A" w:rsidP="00A141A4">
            <w:pPr>
              <w:jc w:val="center"/>
            </w:pPr>
            <w:r w:rsidRPr="00DC445C">
              <w:t>3 (2/2/2)</w:t>
            </w:r>
          </w:p>
        </w:tc>
        <w:tc>
          <w:tcPr>
            <w:tcW w:w="2608" w:type="dxa"/>
          </w:tcPr>
          <w:p w:rsidR="00547A0A" w:rsidRPr="00DC445C" w:rsidRDefault="00547A0A" w:rsidP="00A141A4">
            <w:pPr>
              <w:jc w:val="center"/>
            </w:pPr>
            <w:r w:rsidRPr="00DC445C">
              <w:t>3 (2/2/2)</w:t>
            </w:r>
          </w:p>
        </w:tc>
      </w:tr>
      <w:tr w:rsidR="00547A0A" w:rsidTr="00A141A4">
        <w:tc>
          <w:tcPr>
            <w:tcW w:w="3599" w:type="dxa"/>
          </w:tcPr>
          <w:p w:rsidR="00547A0A" w:rsidRPr="00DC445C" w:rsidRDefault="00547A0A" w:rsidP="00A141A4">
            <w:pPr>
              <w:rPr>
                <w:rFonts w:ascii="Calibri" w:hAnsi="Calibri" w:cs="Calibri"/>
                <w:color w:val="000000"/>
              </w:rPr>
            </w:pPr>
            <w:r w:rsidRPr="00DC445C">
              <w:rPr>
                <w:rFonts w:ascii="Calibri" w:hAnsi="Calibri" w:cs="Calibri"/>
                <w:color w:val="000000"/>
              </w:rPr>
              <w:t>Naphthalene</w:t>
            </w:r>
          </w:p>
        </w:tc>
        <w:tc>
          <w:tcPr>
            <w:tcW w:w="3143" w:type="dxa"/>
          </w:tcPr>
          <w:p w:rsidR="00547A0A" w:rsidRPr="00DC445C" w:rsidRDefault="00547A0A" w:rsidP="00A141A4">
            <w:pPr>
              <w:jc w:val="center"/>
            </w:pPr>
            <w:r w:rsidRPr="00DC445C">
              <w:t>3 (1)</w:t>
            </w:r>
          </w:p>
        </w:tc>
        <w:tc>
          <w:tcPr>
            <w:tcW w:w="2608" w:type="dxa"/>
          </w:tcPr>
          <w:p w:rsidR="00547A0A" w:rsidRPr="00DC445C" w:rsidRDefault="00547A0A" w:rsidP="00A141A4">
            <w:pPr>
              <w:jc w:val="center"/>
            </w:pPr>
            <w:r w:rsidRPr="00DC445C">
              <w:t>3(1)</w:t>
            </w:r>
          </w:p>
        </w:tc>
      </w:tr>
    </w:tbl>
    <w:p w:rsidR="00547A0A" w:rsidRDefault="00547A0A" w:rsidP="00547A0A">
      <w:r>
        <w:t xml:space="preserve">Some exceedances of thresholds </w:t>
      </w:r>
      <w:proofErr w:type="gramStart"/>
      <w:r>
        <w:t>were noted</w:t>
      </w:r>
      <w:proofErr w:type="gramEnd"/>
      <w:r>
        <w:t xml:space="preserve"> for other compounds/events, but since they were below the MDL, there is reduced confidence in their value.</w:t>
      </w:r>
      <w:r w:rsidRPr="00DC445C">
        <w:t xml:space="preserve"> </w:t>
      </w:r>
      <w:r>
        <w:t xml:space="preserve">These could be compounds of potential interest for any future study (if the MDL issue </w:t>
      </w:r>
      <w:proofErr w:type="gramStart"/>
      <w:r>
        <w:t>could be addressed</w:t>
      </w:r>
      <w:proofErr w:type="gramEnd"/>
      <w:r>
        <w:t xml:space="preserve"> via instrumentation).</w:t>
      </w:r>
    </w:p>
    <w:p w:rsidR="00547A0A" w:rsidRDefault="00547A0A" w:rsidP="00547A0A"/>
    <w:p w:rsidR="00547A0A" w:rsidRDefault="00547A0A" w:rsidP="00547A0A">
      <w:r>
        <w:t>Summary Messages</w:t>
      </w:r>
    </w:p>
    <w:p w:rsidR="00547A0A" w:rsidRDefault="00547A0A" w:rsidP="00547A0A">
      <w:pPr>
        <w:pStyle w:val="ListParagraph"/>
        <w:numPr>
          <w:ilvl w:val="0"/>
          <w:numId w:val="1"/>
        </w:numPr>
      </w:pPr>
      <w:r>
        <w:t xml:space="preserve">An initial scan of the data shows a potential trending that air quality occasionally exceeds some </w:t>
      </w:r>
      <w:proofErr w:type="gramStart"/>
      <w:r>
        <w:t>health based</w:t>
      </w:r>
      <w:proofErr w:type="gramEnd"/>
      <w:r>
        <w:t xml:space="preserve"> thresholds used for the identification of compounds of potential interest. </w:t>
      </w:r>
    </w:p>
    <w:p w:rsidR="00547A0A" w:rsidRDefault="00547A0A" w:rsidP="00547A0A">
      <w:pPr>
        <w:pStyle w:val="ListParagraph"/>
        <w:numPr>
          <w:ilvl w:val="0"/>
          <w:numId w:val="1"/>
        </w:numPr>
      </w:pPr>
      <w:r>
        <w:t xml:space="preserve">Health effects </w:t>
      </w:r>
      <w:proofErr w:type="gramStart"/>
      <w:r>
        <w:t>cannot be predicted</w:t>
      </w:r>
      <w:proofErr w:type="gramEnd"/>
      <w:r>
        <w:t xml:space="preserve"> based upon exceedance of thresholds alone. Exposure information </w:t>
      </w:r>
      <w:proofErr w:type="gramStart"/>
      <w:r>
        <w:t>would be needed</w:t>
      </w:r>
      <w:proofErr w:type="gramEnd"/>
      <w:r>
        <w:t xml:space="preserve"> to quantify the risk. Impact from the intermittent events captured in this data would suggest that health risk to the population is low.</w:t>
      </w:r>
    </w:p>
    <w:p w:rsidR="00547A0A" w:rsidRDefault="00547A0A" w:rsidP="00547A0A">
      <w:pPr>
        <w:pStyle w:val="ListParagraph"/>
        <w:numPr>
          <w:ilvl w:val="0"/>
          <w:numId w:val="1"/>
        </w:numPr>
      </w:pPr>
      <w:r>
        <w:t>Odours have the potential to cause indirect health effects. Further study is being undertaken to examine potential linkages between odour and health by numerous organizations such as Universities, Independent researchers, CASA, government etc. Alberta Health remains informed by these studies as they become available.</w:t>
      </w:r>
    </w:p>
    <w:p w:rsidR="00547A0A" w:rsidRDefault="00547A0A" w:rsidP="00547A0A">
      <w:pPr>
        <w:pStyle w:val="ListParagraph"/>
        <w:numPr>
          <w:ilvl w:val="0"/>
          <w:numId w:val="1"/>
        </w:numPr>
      </w:pPr>
      <w:r>
        <w:t xml:space="preserve">Not all air and odour events </w:t>
      </w:r>
      <w:proofErr w:type="gramStart"/>
      <w:r>
        <w:t>will be fully represented</w:t>
      </w:r>
      <w:proofErr w:type="gramEnd"/>
      <w:r>
        <w:t xml:space="preserve"> by this data, though it is a useful tool for the area to identify compounds of interest to target further air monitoring or assessment. For </w:t>
      </w:r>
      <w:proofErr w:type="gramStart"/>
      <w:r>
        <w:t>example</w:t>
      </w:r>
      <w:proofErr w:type="gramEnd"/>
      <w:r>
        <w:t xml:space="preserve"> a short-term focused study using continuous monitoring.</w:t>
      </w:r>
    </w:p>
    <w:p w:rsidR="00547A0A" w:rsidRDefault="00547A0A" w:rsidP="00547A0A">
      <w:pPr>
        <w:pStyle w:val="ListParagraph"/>
        <w:numPr>
          <w:ilvl w:val="0"/>
          <w:numId w:val="1"/>
        </w:numPr>
      </w:pPr>
      <w:r>
        <w:t xml:space="preserve">Air canister sampling </w:t>
      </w:r>
      <w:proofErr w:type="gramStart"/>
      <w:r>
        <w:t>has been conducted</w:t>
      </w:r>
      <w:proofErr w:type="gramEnd"/>
      <w:r>
        <w:t xml:space="preserve"> in the region for approximately 10 years. A review of the data availab</w:t>
      </w:r>
      <w:bookmarkStart w:id="0" w:name="_GoBack"/>
      <w:bookmarkEnd w:id="0"/>
      <w:r>
        <w:t>le could help understand and shape future air monitoring in the area.</w:t>
      </w:r>
    </w:p>
    <w:p w:rsidR="00547A0A" w:rsidRDefault="00547A0A" w:rsidP="00547A0A"/>
    <w:p w:rsidR="00547A0A" w:rsidRDefault="00547A0A" w:rsidP="00547A0A"/>
    <w:p w:rsidR="008069BF" w:rsidRDefault="008069BF"/>
    <w:sectPr w:rsidR="008069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92" w:rsidRDefault="00F11192" w:rsidP="00F11192">
      <w:pPr>
        <w:spacing w:after="0" w:line="240" w:lineRule="auto"/>
      </w:pPr>
      <w:r>
        <w:separator/>
      </w:r>
    </w:p>
  </w:endnote>
  <w:endnote w:type="continuationSeparator" w:id="0">
    <w:p w:rsidR="00F11192" w:rsidRDefault="00F11192" w:rsidP="00F1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92" w:rsidRPr="00F85FE3" w:rsidRDefault="00F11192" w:rsidP="00F11192">
    <w:pPr>
      <w:pStyle w:val="Footer"/>
      <w:pBdr>
        <w:top w:val="single" w:sz="4" w:space="1" w:color="auto"/>
      </w:pBdr>
      <w:rPr>
        <w:sz w:val="20"/>
        <w:szCs w:val="20"/>
      </w:rPr>
    </w:pPr>
    <w:r w:rsidRPr="00F85FE3">
      <w:rPr>
        <w:sz w:val="20"/>
        <w:szCs w:val="20"/>
      </w:rPr>
      <w:t>Alberta Health | Public Health and Compliance</w:t>
    </w:r>
    <w:r w:rsidRPr="00F85FE3">
      <w:rPr>
        <w:sz w:val="20"/>
        <w:szCs w:val="20"/>
      </w:rPr>
      <w:tab/>
    </w:r>
    <w:r w:rsidRPr="00F85FE3">
      <w:rPr>
        <w:sz w:val="20"/>
        <w:szCs w:val="20"/>
      </w:rPr>
      <w:tab/>
    </w:r>
    <w:sdt>
      <w:sdtPr>
        <w:rPr>
          <w:sz w:val="20"/>
          <w:szCs w:val="20"/>
        </w:rPr>
        <w:id w:val="-7442600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F85FE3">
              <w:rPr>
                <w:sz w:val="20"/>
                <w:szCs w:val="20"/>
              </w:rPr>
              <w:t xml:space="preserve">Page </w:t>
            </w:r>
            <w:r w:rsidRPr="00F85FE3">
              <w:rPr>
                <w:b/>
                <w:bCs/>
                <w:sz w:val="20"/>
                <w:szCs w:val="20"/>
              </w:rPr>
              <w:fldChar w:fldCharType="begin"/>
            </w:r>
            <w:r w:rsidRPr="00F85FE3">
              <w:rPr>
                <w:b/>
                <w:bCs/>
                <w:sz w:val="20"/>
                <w:szCs w:val="20"/>
              </w:rPr>
              <w:instrText xml:space="preserve"> PAGE </w:instrText>
            </w:r>
            <w:r w:rsidRPr="00F85FE3">
              <w:rPr>
                <w:b/>
                <w:bCs/>
                <w:sz w:val="20"/>
                <w:szCs w:val="20"/>
              </w:rPr>
              <w:fldChar w:fldCharType="separate"/>
            </w:r>
            <w:r w:rsidR="00BA65EB">
              <w:rPr>
                <w:b/>
                <w:bCs/>
                <w:noProof/>
                <w:sz w:val="20"/>
                <w:szCs w:val="20"/>
              </w:rPr>
              <w:t>2</w:t>
            </w:r>
            <w:r w:rsidRPr="00F85FE3">
              <w:rPr>
                <w:b/>
                <w:bCs/>
                <w:sz w:val="20"/>
                <w:szCs w:val="20"/>
              </w:rPr>
              <w:fldChar w:fldCharType="end"/>
            </w:r>
            <w:r w:rsidRPr="00F85FE3">
              <w:rPr>
                <w:sz w:val="20"/>
                <w:szCs w:val="20"/>
              </w:rPr>
              <w:t xml:space="preserve"> of </w:t>
            </w:r>
            <w:r w:rsidRPr="00F85FE3">
              <w:rPr>
                <w:b/>
                <w:bCs/>
                <w:sz w:val="20"/>
                <w:szCs w:val="20"/>
              </w:rPr>
              <w:fldChar w:fldCharType="begin"/>
            </w:r>
            <w:r w:rsidRPr="00F85FE3">
              <w:rPr>
                <w:b/>
                <w:bCs/>
                <w:sz w:val="20"/>
                <w:szCs w:val="20"/>
              </w:rPr>
              <w:instrText xml:space="preserve"> NUMPAGES  </w:instrText>
            </w:r>
            <w:r w:rsidRPr="00F85FE3">
              <w:rPr>
                <w:b/>
                <w:bCs/>
                <w:sz w:val="20"/>
                <w:szCs w:val="20"/>
              </w:rPr>
              <w:fldChar w:fldCharType="separate"/>
            </w:r>
            <w:r w:rsidR="00BA65EB">
              <w:rPr>
                <w:b/>
                <w:bCs/>
                <w:noProof/>
                <w:sz w:val="20"/>
                <w:szCs w:val="20"/>
              </w:rPr>
              <w:t>2</w:t>
            </w:r>
            <w:r w:rsidRPr="00F85FE3">
              <w:rPr>
                <w:b/>
                <w:bCs/>
                <w:sz w:val="20"/>
                <w:szCs w:val="20"/>
              </w:rPr>
              <w:fldChar w:fldCharType="end"/>
            </w:r>
          </w:sdtContent>
        </w:sdt>
      </w:sdtContent>
    </w:sdt>
  </w:p>
  <w:p w:rsidR="00F11192" w:rsidRPr="00F11192" w:rsidRDefault="00F11192">
    <w:pPr>
      <w:pStyle w:val="Footer"/>
      <w:rPr>
        <w:sz w:val="20"/>
        <w:szCs w:val="20"/>
      </w:rPr>
    </w:pPr>
    <w:r w:rsidRPr="00F85FE3">
      <w:rPr>
        <w:sz w:val="20"/>
        <w:szCs w:val="20"/>
      </w:rPr>
      <w:t>Health Protection Branch | Environmental Public Health Science</w:t>
    </w:r>
    <w:r w:rsidRPr="00F85FE3">
      <w:rPr>
        <w:sz w:val="20"/>
        <w:szCs w:val="20"/>
      </w:rPr>
      <w:tab/>
      <w:t xml:space="preserve">November </w:t>
    </w:r>
    <w:r w:rsidR="00BA65EB">
      <w:rPr>
        <w:sz w:val="20"/>
        <w:szCs w:val="20"/>
      </w:rPr>
      <w:t>2</w:t>
    </w:r>
    <w:r w:rsidRPr="00F85FE3">
      <w:rPr>
        <w:sz w:val="20"/>
        <w:szCs w:val="20"/>
      </w:rPr>
      <w:t>, 201</w:t>
    </w:r>
    <w:r w:rsidR="00BA65EB">
      <w:rPr>
        <w:sz w:val="20"/>
        <w:szCs w:val="20"/>
      </w:rPr>
      <w:t>8</w:t>
    </w:r>
  </w:p>
  <w:p w:rsidR="00F11192" w:rsidRDefault="00F1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92" w:rsidRDefault="00F11192" w:rsidP="00F11192">
      <w:pPr>
        <w:spacing w:after="0" w:line="240" w:lineRule="auto"/>
      </w:pPr>
      <w:r>
        <w:separator/>
      </w:r>
    </w:p>
  </w:footnote>
  <w:footnote w:type="continuationSeparator" w:id="0">
    <w:p w:rsidR="00F11192" w:rsidRDefault="00F11192" w:rsidP="00F1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26DC"/>
    <w:multiLevelType w:val="hybridMultilevel"/>
    <w:tmpl w:val="DDB2A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2"/>
    <w:rsid w:val="004456AD"/>
    <w:rsid w:val="00547A0A"/>
    <w:rsid w:val="00711BCB"/>
    <w:rsid w:val="008069BF"/>
    <w:rsid w:val="00BA65EB"/>
    <w:rsid w:val="00F11192"/>
    <w:rsid w:val="00FC4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F5E3"/>
  <w15:docId w15:val="{875E0B98-1D4D-4FEB-87EB-0E22B2A8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192"/>
  </w:style>
  <w:style w:type="paragraph" w:styleId="Footer">
    <w:name w:val="footer"/>
    <w:basedOn w:val="Normal"/>
    <w:link w:val="FooterChar"/>
    <w:uiPriority w:val="99"/>
    <w:unhideWhenUsed/>
    <w:rsid w:val="00F1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192"/>
  </w:style>
  <w:style w:type="paragraph" w:styleId="BalloonText">
    <w:name w:val="Balloon Text"/>
    <w:basedOn w:val="Normal"/>
    <w:link w:val="BalloonTextChar"/>
    <w:uiPriority w:val="99"/>
    <w:semiHidden/>
    <w:unhideWhenUsed/>
    <w:rsid w:val="00F1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192"/>
    <w:rPr>
      <w:rFonts w:ascii="Tahoma" w:hAnsi="Tahoma" w:cs="Tahoma"/>
      <w:sz w:val="16"/>
      <w:szCs w:val="16"/>
    </w:rPr>
  </w:style>
  <w:style w:type="table" w:styleId="TableGrid">
    <w:name w:val="Table Grid"/>
    <w:basedOn w:val="TableNormal"/>
    <w:uiPriority w:val="39"/>
    <w:rsid w:val="0054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A0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E731-4E2F-4E5E-BC01-8A13DE77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brendan.schiewe</dc:creator>
  <cp:lastModifiedBy>Laurie Cheperdak</cp:lastModifiedBy>
  <cp:revision>3</cp:revision>
  <dcterms:created xsi:type="dcterms:W3CDTF">2018-11-02T16:56:00Z</dcterms:created>
  <dcterms:modified xsi:type="dcterms:W3CDTF">2018-11-02T16:58:00Z</dcterms:modified>
</cp:coreProperties>
</file>